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Spacing"/>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Spacing"/>
        <w:rPr>
          <w:rFonts w:ascii="Times New Roman" w:hAnsi="Times New Roman"/>
          <w:sz w:val="24"/>
          <w:szCs w:val="24"/>
        </w:rPr>
      </w:pPr>
      <w:r>
        <w:rPr>
          <w:rFonts w:cs="Times New Roman" w:ascii="Times New Roman" w:hAnsi="Times New Roman"/>
          <w:b/>
          <w:bCs/>
          <w:color w:val="000000"/>
          <w:sz w:val="24"/>
          <w:szCs w:val="24"/>
        </w:rPr>
        <w:t>Despacho Decisório Nº 0XX/2024</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ListParagraph"/>
        <w:ind w:left="851"/>
        <w:jc w:val="right"/>
        <w:rPr>
          <w:rFonts w:ascii="Times New Roman" w:hAnsi="Times New Roman"/>
          <w:sz w:val="24"/>
          <w:szCs w:val="24"/>
        </w:rPr>
      </w:pPr>
      <w:r>
        <w:rPr>
          <w:rFonts w:cs="Times New Roman" w:ascii="Times New Roman" w:hAnsi="Times New Roman"/>
          <w:sz w:val="24"/>
          <w:szCs w:val="24"/>
        </w:rPr>
        <w:t>Município, XX de março de 2024</w:t>
      </w:r>
    </w:p>
    <w:p>
      <w:pPr>
        <w:pStyle w:val="ListParagraph"/>
        <w:ind w:left="0"/>
        <w:rPr>
          <w:rFonts w:ascii="Times New Roman" w:hAnsi="Times New Roman" w:cs="Times New Roman"/>
          <w:sz w:val="24"/>
          <w:szCs w:val="24"/>
        </w:rPr>
      </w:pPr>
      <w:r>
        <w:rPr>
          <w:rFonts w:cs="Times New Roman" w:ascii="Times New Roman" w:hAnsi="Times New Roman"/>
          <w:sz w:val="24"/>
          <w:szCs w:val="24"/>
        </w:rPr>
      </w:r>
    </w:p>
    <w:p>
      <w:pPr>
        <w:pStyle w:val="ListParagraph"/>
        <w:ind w:left="0"/>
        <w:rPr>
          <w:rFonts w:ascii="Times New Roman" w:hAnsi="Times New Roman"/>
          <w:sz w:val="24"/>
          <w:szCs w:val="24"/>
        </w:rPr>
      </w:pPr>
      <w:r>
        <w:rPr>
          <w:rFonts w:cs="Times New Roman" w:ascii="Times New Roman" w:hAnsi="Times New Roman"/>
          <w:sz w:val="24"/>
          <w:szCs w:val="24"/>
        </w:rPr>
        <w:t>Processo Nº 10675.XXXXX/2023-17</w:t>
      </w:r>
    </w:p>
    <w:p>
      <w:pPr>
        <w:pStyle w:val="ListParagraph"/>
        <w:ind w:left="0"/>
        <w:rPr>
          <w:rFonts w:ascii="Times New Roman" w:hAnsi="Times New Roman"/>
          <w:sz w:val="24"/>
          <w:szCs w:val="24"/>
        </w:rPr>
      </w:pPr>
      <w:r>
        <w:rPr>
          <w:rFonts w:cs="Times New Roman" w:ascii="Times New Roman" w:hAnsi="Times New Roman"/>
          <w:sz w:val="24"/>
          <w:szCs w:val="24"/>
        </w:rPr>
        <w:t xml:space="preserve">Interessado: José da Silva </w:t>
      </w:r>
    </w:p>
    <w:p>
      <w:pPr>
        <w:pStyle w:val="ListParagraph"/>
        <w:ind w:left="0"/>
        <w:rPr>
          <w:rFonts w:ascii="Times New Roman" w:hAnsi="Times New Roman"/>
          <w:sz w:val="24"/>
          <w:szCs w:val="24"/>
        </w:rPr>
      </w:pPr>
      <w:r>
        <w:rPr>
          <w:rFonts w:cs="Times New Roman" w:ascii="Times New Roman" w:hAnsi="Times New Roman"/>
          <w:sz w:val="24"/>
          <w:szCs w:val="24"/>
        </w:rPr>
        <w:t>CNPJ/CPF: XXX.XXX.XXX-XX</w:t>
      </w:r>
    </w:p>
    <w:p>
      <w:pPr>
        <w:pStyle w:val="ListParagraph"/>
        <w:ind w:left="0"/>
        <w:rPr>
          <w:rFonts w:ascii="Times New Roman" w:hAnsi="Times New Roman"/>
          <w:sz w:val="24"/>
          <w:szCs w:val="24"/>
        </w:rPr>
      </w:pPr>
      <w:r>
        <w:rPr>
          <w:rFonts w:cs="Times New Roman" w:ascii="Times New Roman" w:hAnsi="Times New Roman"/>
          <w:sz w:val="24"/>
          <w:szCs w:val="24"/>
        </w:rPr>
        <w:t>CIB: X.XXX.XXX-8</w:t>
      </w:r>
    </w:p>
    <w:p>
      <w:pPr>
        <w:pStyle w:val="ListParagraph"/>
        <w:ind w:left="0"/>
        <w:rPr>
          <w:rFonts w:ascii="Times New Roman" w:hAnsi="Times New Roman" w:cs="Times New Roman"/>
          <w:sz w:val="24"/>
          <w:szCs w:val="24"/>
        </w:rPr>
      </w:pPr>
      <w:r>
        <w:rPr>
          <w:rFonts w:cs="Times New Roman" w:ascii="Times New Roman" w:hAnsi="Times New Roman"/>
          <w:sz w:val="24"/>
          <w:szCs w:val="24"/>
        </w:rPr>
      </w:r>
    </w:p>
    <w:p>
      <w:pPr>
        <w:pStyle w:val="ListParagraph"/>
        <w:ind w:left="0"/>
        <w:rPr>
          <w:rFonts w:ascii="Times New Roman" w:hAnsi="Times New Roman" w:cs="Times New Roman"/>
          <w:sz w:val="24"/>
          <w:szCs w:val="24"/>
        </w:rPr>
      </w:pPr>
      <w:r>
        <w:rPr>
          <w:rFonts w:cs="Times New Roman" w:ascii="Times New Roman" w:hAnsi="Times New Roman"/>
          <w:sz w:val="24"/>
          <w:szCs w:val="24"/>
        </w:rPr>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cs="Times New Roman" w:ascii="Times New Roman" w:hAnsi="Times New Roman"/>
          <w:b/>
          <w:bCs/>
          <w:sz w:val="24"/>
          <w:szCs w:val="24"/>
        </w:rPr>
        <w:t>IMPOSTO SOBRE A PROPRIEDADE TERRITORIAL RURAL (ITR)</w:t>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cs="Times New Roman" w:ascii="Times New Roman" w:hAnsi="Times New Roman"/>
          <w:b/>
          <w:bCs/>
          <w:sz w:val="24"/>
          <w:szCs w:val="24"/>
        </w:rPr>
        <w:t>EXERCÍCIO: 20</w:t>
      </w:r>
      <w:r>
        <w:rPr>
          <w:rFonts w:cs="Times New Roman" w:ascii="Times New Roman" w:hAnsi="Times New Roman"/>
          <w:b/>
          <w:bCs/>
          <w:sz w:val="24"/>
          <w:szCs w:val="24"/>
        </w:rPr>
        <w:t>20</w:t>
      </w:r>
    </w:p>
    <w:p>
      <w:pPr>
        <w:pStyle w:val="ListParagraph"/>
        <w:widowControl/>
        <w:suppressAutoHyphens w:val="true"/>
        <w:bidi w:val="0"/>
        <w:spacing w:lineRule="auto" w:line="259" w:before="0" w:after="160"/>
        <w:ind w:hanging="0" w:left="2835" w:right="0"/>
        <w:contextualSpacing/>
        <w:jc w:val="both"/>
        <w:rPr>
          <w:rFonts w:ascii="Times New Roman" w:hAnsi="Times New Roman" w:cs="Times New Roman"/>
          <w:b/>
          <w:bCs/>
          <w:sz w:val="24"/>
          <w:szCs w:val="24"/>
        </w:rPr>
      </w:pPr>
      <w:r>
        <w:rPr>
          <w:rFonts w:cs="Times New Roman" w:ascii="Times New Roman" w:hAnsi="Times New Roman"/>
          <w:b/>
          <w:bCs/>
          <w:sz w:val="24"/>
          <w:szCs w:val="24"/>
        </w:rPr>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cs="Times New Roman" w:ascii="Times New Roman" w:hAnsi="Times New Roman"/>
          <w:b/>
          <w:bCs/>
          <w:sz w:val="24"/>
          <w:szCs w:val="24"/>
        </w:rPr>
        <w:t>DA ÁREA DE PASTAGENS.</w:t>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bidi w:val="0"/>
        <w:spacing w:lineRule="auto" w:line="259" w:before="0" w:after="160"/>
        <w:ind w:hanging="0" w:left="2835" w:right="0"/>
        <w:contextualSpacing/>
        <w:jc w:val="both"/>
        <w:rPr>
          <w:rFonts w:ascii="Times New Roman" w:hAnsi="Times New Roman"/>
          <w:b w:val="false"/>
          <w:bCs w:val="false"/>
          <w:sz w:val="24"/>
          <w:szCs w:val="24"/>
        </w:rPr>
      </w:pPr>
      <w:r>
        <w:rPr>
          <w:rFonts w:cs="Times New Roman" w:ascii="Times New Roman" w:hAnsi="Times New Roman"/>
          <w:b w:val="false"/>
          <w:bCs w:val="false"/>
          <w:sz w:val="24"/>
          <w:szCs w:val="24"/>
        </w:rPr>
        <w:t>É cabível o reconhecimento da área de pastagens como área utilizada na atividade rural, quando houver a comprovação da existência de animais apascentados no imóvel no exercício anterior.</w:t>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cs="Times New Roman" w:ascii="Times New Roman" w:hAnsi="Times New Roman"/>
          <w:b/>
          <w:bCs/>
          <w:sz w:val="24"/>
          <w:szCs w:val="24"/>
        </w:rPr>
        <w:t>DA ÁREA DE PRESERVAÇÃO PERMANENTE</w:t>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bidi w:val="0"/>
        <w:spacing w:lineRule="auto" w:line="259" w:before="0" w:after="160"/>
        <w:ind w:hanging="0" w:left="2835" w:right="0"/>
        <w:contextualSpacing/>
        <w:jc w:val="both"/>
        <w:rPr>
          <w:rFonts w:ascii="Times New Roman" w:hAnsi="Times New Roman"/>
          <w:b w:val="false"/>
          <w:bCs w:val="false"/>
          <w:sz w:val="24"/>
          <w:szCs w:val="24"/>
        </w:rPr>
      </w:pPr>
      <w:r>
        <w:rPr>
          <w:rFonts w:cs="Times New Roman" w:ascii="Times New Roman" w:hAnsi="Times New Roman"/>
          <w:b w:val="false"/>
          <w:bCs w:val="false"/>
          <w:sz w:val="24"/>
          <w:szCs w:val="24"/>
        </w:rPr>
        <w:t>A área de preservação permanente, comprovada por laudo técnico e declarada em Ato Declaratório Ambiental – ADA, até a data da ocorrência do fato gerador, deve ser excluída das áreas tributadas para fins de apuração do ITR.</w:t>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cs="Times New Roman" w:ascii="Times New Roman" w:hAnsi="Times New Roman"/>
          <w:b/>
          <w:bCs/>
          <w:sz w:val="24"/>
          <w:szCs w:val="24"/>
        </w:rPr>
        <w:t>DA ÁREA DE RESERVA LEGAL</w:t>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bidi w:val="0"/>
        <w:spacing w:lineRule="auto" w:line="259" w:before="0" w:after="160"/>
        <w:ind w:hanging="0" w:left="2835" w:right="0"/>
        <w:contextualSpacing/>
        <w:jc w:val="both"/>
        <w:rPr>
          <w:rFonts w:ascii="Times New Roman" w:hAnsi="Times New Roman"/>
          <w:b w:val="false"/>
          <w:bCs w:val="false"/>
          <w:sz w:val="24"/>
          <w:szCs w:val="24"/>
        </w:rPr>
      </w:pPr>
      <w:r>
        <w:rPr>
          <w:rFonts w:cs="Times New Roman" w:ascii="Times New Roman" w:hAnsi="Times New Roman"/>
          <w:b w:val="false"/>
          <w:bCs w:val="false"/>
          <w:sz w:val="24"/>
          <w:szCs w:val="24"/>
        </w:rPr>
        <w:t>A área de reserva legal registrada no Órgão ambiental competente ou averbada na margem da matrícula do imóvel, em que a averbação identifique o perímetro e a localização da reserva, deve ser excluída da base de cálculo, na apuração do ITR.</w:t>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cs="Times New Roman" w:ascii="Times New Roman" w:hAnsi="Times New Roman"/>
          <w:b/>
          <w:bCs/>
          <w:sz w:val="24"/>
          <w:szCs w:val="24"/>
        </w:rPr>
        <w:t xml:space="preserve">ÁREA COBERTA POR FLORESTAS NATIVAS </w:t>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bidi w:val="0"/>
        <w:spacing w:lineRule="auto" w:line="259" w:before="0" w:after="160"/>
        <w:ind w:hanging="0" w:left="2835" w:right="0"/>
        <w:contextualSpacing/>
        <w:jc w:val="both"/>
        <w:rPr>
          <w:rFonts w:ascii="Times New Roman" w:hAnsi="Times New Roman"/>
          <w:b w:val="false"/>
          <w:bCs w:val="false"/>
          <w:sz w:val="24"/>
          <w:szCs w:val="24"/>
        </w:rPr>
      </w:pPr>
      <w:r>
        <w:rPr>
          <w:rFonts w:cs="Times New Roman" w:ascii="Times New Roman" w:hAnsi="Times New Roman"/>
          <w:b w:val="false"/>
          <w:bCs w:val="false"/>
          <w:sz w:val="24"/>
          <w:szCs w:val="24"/>
        </w:rPr>
        <w:t>A exclusão da base de cálculo do Imposto sobre a Propriedade Territorial Rural (ITR), em face da área coberta por florestas nativas, está condicionada, necessariamente, à apresentação tempestiva do Ato Declaratório Ambiental (ADA).</w:t>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ascii="Times New Roman" w:hAnsi="Times New Roman"/>
          <w:sz w:val="24"/>
          <w:szCs w:val="24"/>
        </w:rPr>
      </w:r>
    </w:p>
    <w:p>
      <w:pPr>
        <w:pStyle w:val="ListParagraph"/>
        <w:widowControl/>
        <w:suppressAutoHyphens w:val="true"/>
        <w:bidi w:val="0"/>
        <w:spacing w:lineRule="auto" w:line="259" w:before="0" w:after="160"/>
        <w:ind w:hanging="0" w:left="2835" w:right="0"/>
        <w:contextualSpacing/>
        <w:jc w:val="both"/>
        <w:rPr>
          <w:rFonts w:ascii="Times New Roman" w:hAnsi="Times New Roman"/>
          <w:sz w:val="24"/>
          <w:szCs w:val="24"/>
        </w:rPr>
      </w:pPr>
      <w:r>
        <w:rPr>
          <w:rFonts w:cs="Times New Roman" w:ascii="Times New Roman" w:hAnsi="Times New Roman"/>
          <w:b/>
          <w:bCs/>
          <w:sz w:val="24"/>
          <w:szCs w:val="24"/>
        </w:rPr>
        <w:t>Pedido de Revisão Deferido Parcialmente</w:t>
      </w:r>
    </w:p>
    <w:p>
      <w:pPr>
        <w:pStyle w:val="ListParagraph"/>
        <w:ind w:left="3402"/>
        <w:jc w:val="both"/>
        <w:rPr>
          <w:rFonts w:ascii="Times New Roman" w:hAnsi="Times New Roman" w:cs="Times New Roman"/>
          <w:b/>
          <w:bCs/>
          <w:sz w:val="24"/>
          <w:szCs w:val="24"/>
        </w:rPr>
      </w:pPr>
      <w:r>
        <w:rPr>
          <w:rFonts w:cs="Times New Roman" w:ascii="Times New Roman" w:hAnsi="Times New Roman"/>
          <w:b/>
          <w:bCs/>
          <w:sz w:val="24"/>
          <w:szCs w:val="24"/>
        </w:rPr>
      </w:r>
    </w:p>
    <w:p>
      <w:pPr>
        <w:pStyle w:val="ListParagraph"/>
        <w:ind w:hanging="0" w:left="3686"/>
        <w:jc w:val="both"/>
        <w:rPr>
          <w:rFonts w:ascii="Times New Roman" w:hAnsi="Times New Roman" w:cs="Times New Roman"/>
          <w:sz w:val="24"/>
          <w:szCs w:val="24"/>
        </w:rPr>
      </w:pPr>
      <w:r>
        <w:rPr>
          <w:rFonts w:cs="Times New Roman" w:ascii="Times New Roman" w:hAnsi="Times New Roman"/>
          <w:sz w:val="24"/>
          <w:szCs w:val="24"/>
        </w:rPr>
      </w:r>
    </w:p>
    <w:p>
      <w:pPr>
        <w:pStyle w:val="ListParagraph"/>
        <w:ind w:left="3402"/>
        <w:jc w:val="both"/>
        <w:rPr>
          <w:rFonts w:ascii="Times New Roman" w:hAnsi="Times New Roman" w:cs="Times New Roman"/>
          <w:b/>
          <w:bCs/>
          <w:sz w:val="24"/>
          <w:szCs w:val="24"/>
        </w:rPr>
      </w:pPr>
      <w:r>
        <w:rPr>
          <w:rFonts w:cs="Times New Roman" w:ascii="Times New Roman" w:hAnsi="Times New Roman"/>
          <w:b/>
          <w:bCs/>
          <w:sz w:val="24"/>
          <w:szCs w:val="24"/>
        </w:rPr>
      </w:r>
    </w:p>
    <w:p>
      <w:pPr>
        <w:pStyle w:val="ListParagraph"/>
        <w:pBdr>
          <w:top w:val="single" w:sz="4" w:space="1" w:color="000000"/>
          <w:bottom w:val="single" w:sz="4" w:space="1" w:color="000000"/>
        </w:pBdr>
        <w:ind w:left="0"/>
        <w:jc w:val="center"/>
        <w:rPr>
          <w:rFonts w:ascii="Times New Roman" w:hAnsi="Times New Roman"/>
          <w:sz w:val="24"/>
          <w:szCs w:val="24"/>
        </w:rPr>
      </w:pPr>
      <w:r>
        <w:rPr>
          <w:rFonts w:cs="Times New Roman" w:ascii="Times New Roman" w:hAnsi="Times New Roman"/>
          <w:sz w:val="24"/>
          <w:szCs w:val="24"/>
        </w:rPr>
        <w:t>BREVE RELATO</w:t>
      </w:r>
    </w:p>
    <w:p>
      <w:pPr>
        <w:pStyle w:val="ListParagraph"/>
        <w:ind w:firstLine="1134" w:left="0"/>
        <w:rPr>
          <w:rFonts w:ascii="Times New Roman" w:hAnsi="Times New Roman" w:cs="Times New Roman"/>
          <w:sz w:val="24"/>
          <w:szCs w:val="24"/>
        </w:rPr>
      </w:pPr>
      <w:r>
        <w:rPr>
          <w:rFonts w:cs="Times New Roman" w:ascii="Times New Roman" w:hAnsi="Times New Roman"/>
          <w:sz w:val="24"/>
          <w:szCs w:val="24"/>
        </w:rPr>
      </w:r>
    </w:p>
    <w:p>
      <w:pPr>
        <w:pStyle w:val="ListParagraph"/>
        <w:ind w:hanging="0" w:left="0"/>
        <w:jc w:val="both"/>
        <w:rPr>
          <w:rFonts w:ascii="Times New Roman" w:hAnsi="Times New Roman"/>
          <w:sz w:val="24"/>
          <w:szCs w:val="24"/>
        </w:rPr>
      </w:pPr>
      <w:r>
        <w:rPr>
          <w:rFonts w:cs="Times New Roman" w:ascii="Times New Roman" w:hAnsi="Times New Roman"/>
          <w:sz w:val="24"/>
          <w:szCs w:val="24"/>
        </w:rPr>
        <w:tab/>
        <w:t>Com a finalidade de comprovação dos dados informados na DITR do exercício de 2020, o contribuinte foi intimado a apresentar :</w:t>
      </w:r>
    </w:p>
    <w:p>
      <w:pPr>
        <w:pStyle w:val="ListParagraph"/>
        <w:ind w:hanging="0" w:left="0"/>
        <w:jc w:val="both"/>
        <w:rPr>
          <w:rFonts w:ascii="Times New Roman" w:hAnsi="Times New Roman"/>
          <w:sz w:val="24"/>
          <w:szCs w:val="24"/>
        </w:rPr>
      </w:pPr>
      <w:r>
        <w:rPr>
          <w:rFonts w:ascii="Times New Roman" w:hAnsi="Times New Roman"/>
          <w:sz w:val="24"/>
          <w:szCs w:val="24"/>
        </w:rPr>
      </w:r>
    </w:p>
    <w:p>
      <w:pPr>
        <w:pStyle w:val="ListParagraph"/>
        <w:ind w:hanging="0" w:left="0"/>
        <w:jc w:val="both"/>
        <w:rPr>
          <w:rFonts w:ascii="Times New Roman" w:hAnsi="Times New Roman"/>
          <w:sz w:val="24"/>
          <w:szCs w:val="24"/>
        </w:rPr>
      </w:pPr>
      <w:r>
        <w:rPr>
          <w:rFonts w:cs="Times New Roman" w:ascii="Times New Roman" w:hAnsi="Times New Roman"/>
          <w:sz w:val="24"/>
          <w:szCs w:val="24"/>
        </w:rPr>
        <w:tab/>
        <w:t>(a) Laudo técnico e ato declaratório ambiental – ADA, para comprovar o direito à isenção do ITR relativamente a 180,1 ha, declarada como área de preservação permanente;</w:t>
      </w:r>
    </w:p>
    <w:p>
      <w:pPr>
        <w:pStyle w:val="ListParagraph"/>
        <w:ind w:hanging="0" w:left="0"/>
        <w:jc w:val="both"/>
        <w:rPr>
          <w:rFonts w:ascii="Times New Roman" w:hAnsi="Times New Roman"/>
          <w:sz w:val="24"/>
          <w:szCs w:val="24"/>
        </w:rPr>
      </w:pPr>
      <w:r>
        <w:rPr>
          <w:rFonts w:ascii="Times New Roman" w:hAnsi="Times New Roman"/>
          <w:sz w:val="24"/>
          <w:szCs w:val="24"/>
        </w:rPr>
      </w:r>
    </w:p>
    <w:p>
      <w:pPr>
        <w:pStyle w:val="ListParagraph"/>
        <w:ind w:hanging="0" w:left="0"/>
        <w:jc w:val="both"/>
        <w:rPr>
          <w:rFonts w:ascii="Times New Roman" w:hAnsi="Times New Roman"/>
          <w:sz w:val="24"/>
          <w:szCs w:val="24"/>
        </w:rPr>
      </w:pPr>
      <w:r>
        <w:rPr>
          <w:rFonts w:cs="Times New Roman" w:ascii="Times New Roman" w:hAnsi="Times New Roman"/>
          <w:sz w:val="24"/>
          <w:szCs w:val="24"/>
        </w:rPr>
        <w:tab/>
        <w:t>(b) Matrícula do imóvel com a averbação da área equivalente a 1.542,5ha, declarada como reserva legal ou, alternativamente, a inscrição da reserva legal  no cadastro ambiental rural – CAR;</w:t>
      </w:r>
    </w:p>
    <w:p>
      <w:pPr>
        <w:pStyle w:val="ListParagraph"/>
        <w:ind w:hanging="0" w:left="0"/>
        <w:jc w:val="both"/>
        <w:rPr>
          <w:rFonts w:ascii="Times New Roman" w:hAnsi="Times New Roman"/>
          <w:sz w:val="24"/>
          <w:szCs w:val="24"/>
        </w:rPr>
      </w:pPr>
      <w:r>
        <w:rPr>
          <w:rFonts w:ascii="Times New Roman" w:hAnsi="Times New Roman"/>
          <w:sz w:val="24"/>
          <w:szCs w:val="24"/>
        </w:rPr>
      </w:r>
    </w:p>
    <w:p>
      <w:pPr>
        <w:pStyle w:val="ListParagraph"/>
        <w:ind w:hanging="0" w:left="0"/>
        <w:jc w:val="both"/>
        <w:rPr>
          <w:rFonts w:ascii="Times New Roman" w:hAnsi="Times New Roman"/>
          <w:sz w:val="24"/>
          <w:szCs w:val="24"/>
        </w:rPr>
      </w:pPr>
      <w:r>
        <w:rPr>
          <w:rFonts w:cs="Times New Roman" w:ascii="Times New Roman" w:hAnsi="Times New Roman"/>
          <w:sz w:val="24"/>
          <w:szCs w:val="24"/>
        </w:rPr>
        <w:tab/>
        <w:t>(c) Notas fiscais de produtor, referentes a compra/venda de gado; ou alternativamente, fichas de vacinação; demonstrativo de movimentação de gado, para justificar a área de 720 ha de área declarada como pastagem, observado o índice de lotação por zona de pecuária;</w:t>
      </w:r>
    </w:p>
    <w:p>
      <w:pPr>
        <w:pStyle w:val="ListParagraph"/>
        <w:ind w:hanging="0" w:left="0"/>
        <w:jc w:val="both"/>
        <w:rPr>
          <w:rFonts w:ascii="Times New Roman" w:hAnsi="Times New Roman"/>
          <w:sz w:val="24"/>
          <w:szCs w:val="24"/>
        </w:rPr>
      </w:pPr>
      <w:r>
        <w:rPr>
          <w:rFonts w:ascii="Times New Roman" w:hAnsi="Times New Roman"/>
          <w:sz w:val="24"/>
          <w:szCs w:val="24"/>
        </w:rPr>
      </w:r>
    </w:p>
    <w:p>
      <w:pPr>
        <w:pStyle w:val="ListParagraph"/>
        <w:ind w:hanging="0" w:left="0"/>
        <w:jc w:val="both"/>
        <w:rPr>
          <w:rFonts w:ascii="Times New Roman" w:hAnsi="Times New Roman"/>
          <w:sz w:val="24"/>
          <w:szCs w:val="24"/>
        </w:rPr>
      </w:pPr>
      <w:r>
        <w:rPr>
          <w:rFonts w:cs="Times New Roman" w:ascii="Times New Roman" w:hAnsi="Times New Roman"/>
          <w:sz w:val="24"/>
          <w:szCs w:val="24"/>
        </w:rPr>
        <w:tab/>
        <w:t xml:space="preserve">(d) Laudo de avaliação do imóvel, emitido por engenheiro agrônomo ou florestal, conforme estabelecido na NBR 14.653 da Associação Brasileira de Normas Técnicas - ABNT com grau de fundamentação e precisão II, com Anotação de Responsabilidade Técnica - ART registrada no Conselho Regional de Engenharia, Arquitetura e Agronomia - Crea, contendo todos os elementos de pesquisa identificados e planilhas de cálculo e preferivelmente pelo método comparativo direto de dados de mercado. </w:t>
      </w:r>
    </w:p>
    <w:p>
      <w:pPr>
        <w:pStyle w:val="ListParagraph"/>
        <w:ind w:hanging="0" w:left="0"/>
        <w:jc w:val="both"/>
        <w:rPr>
          <w:rFonts w:ascii="Times New Roman" w:hAnsi="Times New Roman"/>
          <w:sz w:val="24"/>
          <w:szCs w:val="24"/>
        </w:rPr>
      </w:pPr>
      <w:r>
        <w:rPr>
          <w:rFonts w:ascii="Times New Roman" w:hAnsi="Times New Roman"/>
          <w:sz w:val="24"/>
          <w:szCs w:val="24"/>
        </w:rPr>
      </w:r>
    </w:p>
    <w:p>
      <w:pPr>
        <w:pStyle w:val="ListParagraph"/>
        <w:ind w:hanging="0" w:left="0"/>
        <w:jc w:val="both"/>
        <w:rPr>
          <w:rFonts w:ascii="Times New Roman" w:hAnsi="Times New Roman"/>
          <w:sz w:val="24"/>
          <w:szCs w:val="24"/>
        </w:rPr>
      </w:pPr>
      <w:r>
        <w:rPr>
          <w:rFonts w:cs="Times New Roman" w:ascii="Times New Roman" w:hAnsi="Times New Roman"/>
          <w:sz w:val="24"/>
          <w:szCs w:val="24"/>
        </w:rPr>
        <w:tab/>
        <w:t xml:space="preserve">Após regularmente intimado, o sujeito passivo não apresentou qualquer documento. Em consequência,  o fisco do município de ......... , no uso das atribuições de fiscalização e cobrança do ITR, delegadas  nos termos do art. 1° da Lei N° 11.250/2005, glosou a área declarada como reserva legal e efetuou o lançamento de ofício, representado pelo processo administrativo Nº...... , referente ao exercício de 2020. </w:t>
      </w:r>
    </w:p>
    <w:p>
      <w:pPr>
        <w:pStyle w:val="ListParagraph"/>
        <w:ind w:hanging="0" w:left="0" w:right="-143"/>
        <w:rPr>
          <w:rFonts w:ascii="Times New Roman" w:hAnsi="Times New Roman"/>
          <w:sz w:val="24"/>
          <w:szCs w:val="24"/>
        </w:rPr>
      </w:pPr>
      <w:r>
        <w:rPr>
          <w:rFonts w:cs="Times New Roman" w:ascii="Times New Roman" w:hAnsi="Times New Roman"/>
          <w:sz w:val="24"/>
          <w:szCs w:val="24"/>
        </w:rPr>
        <w:t xml:space="preserve">_______________________________________________________________________ </w:t>
      </w:r>
    </w:p>
    <w:p>
      <w:pPr>
        <w:pStyle w:val="ListParagraph"/>
        <w:pBdr>
          <w:bottom w:val="single" w:sz="6" w:space="1" w:color="000000"/>
        </w:pBdr>
        <w:ind w:hanging="0" w:left="0"/>
        <w:jc w:val="center"/>
        <w:rPr>
          <w:rFonts w:ascii="Times New Roman" w:hAnsi="Times New Roman"/>
          <w:sz w:val="24"/>
          <w:szCs w:val="24"/>
        </w:rPr>
      </w:pPr>
      <w:r>
        <w:rPr>
          <w:rFonts w:cs="Times New Roman" w:ascii="Times New Roman" w:hAnsi="Times New Roman"/>
          <w:sz w:val="24"/>
          <w:szCs w:val="24"/>
        </w:rPr>
        <w:t>ANÁLISE</w:t>
      </w:r>
    </w:p>
    <w:p>
      <w:pPr>
        <w:pStyle w:val="ListParagraph"/>
        <w:ind w:hanging="0" w:left="0"/>
        <w:rPr>
          <w:rFonts w:ascii="Times New Roman" w:hAnsi="Times New Roman" w:cs="Times New Roman"/>
          <w:sz w:val="24"/>
          <w:szCs w:val="24"/>
        </w:rPr>
      </w:pPr>
      <w:r>
        <w:rPr>
          <w:rFonts w:cs="Times New Roman" w:ascii="Times New Roman" w:hAnsi="Times New Roman"/>
          <w:sz w:val="24"/>
          <w:szCs w:val="24"/>
        </w:rPr>
      </w:r>
    </w:p>
    <w:p>
      <w:pPr>
        <w:pStyle w:val="ListParagraph"/>
        <w:ind w:left="0"/>
        <w:jc w:val="both"/>
        <w:rPr>
          <w:rFonts w:ascii="Times New Roman" w:hAnsi="Times New Roman" w:cs="Times New Roman"/>
          <w:sz w:val="24"/>
          <w:szCs w:val="24"/>
        </w:rPr>
      </w:pPr>
      <w:r>
        <w:rPr>
          <w:rFonts w:cs="Times New Roman" w:ascii="Times New Roman" w:hAnsi="Times New Roman"/>
          <w:sz w:val="24"/>
          <w:szCs w:val="24"/>
        </w:rPr>
        <w:tab/>
        <w:t xml:space="preserve">Depois iniciado os procedimentos de cobrança do crédito tributário, o sujeito passivo protocolizou a petição denominada por ele de  “impugnação ao lançamento”. </w:t>
      </w:r>
    </w:p>
    <w:p>
      <w:pPr>
        <w:pStyle w:val="ListParagraph"/>
        <w:ind w:left="0"/>
        <w:jc w:val="both"/>
        <w:rPr>
          <w:rFonts w:ascii="Times New Roman" w:hAnsi="Times New Roman" w:cs="Times New Roman"/>
          <w:sz w:val="24"/>
          <w:szCs w:val="24"/>
        </w:rPr>
      </w:pPr>
      <w:r>
        <w:rPr>
          <w:rFonts w:cs="Times New Roman" w:ascii="Times New Roman" w:hAnsi="Times New Roman"/>
          <w:sz w:val="24"/>
          <w:szCs w:val="24"/>
        </w:rPr>
        <w:tab/>
        <w:t>Inicialmente, cabe salientar que a petição apresentada pelo requerente é intempestiva, logo, nos termos do §2º, do art. 56 do Decreto Nº 7.574/2011, não caracteriza impugnação, não instaura a fase litigiosa do procedimento, não suspende a exigibilidade do crédito tributário nem comporta julgamento de primeira instância.</w:t>
      </w:r>
    </w:p>
    <w:p>
      <w:pPr>
        <w:pStyle w:val="ListParagraph"/>
        <w:ind w:left="0"/>
        <w:jc w:val="both"/>
        <w:rPr>
          <w:rFonts w:ascii="Times New Roman" w:hAnsi="Times New Roman" w:cs="Times New Roman"/>
          <w:sz w:val="24"/>
          <w:szCs w:val="24"/>
        </w:rPr>
      </w:pPr>
      <w:r>
        <w:rPr>
          <w:rFonts w:cs="Times New Roman" w:ascii="Times New Roman" w:hAnsi="Times New Roman"/>
          <w:sz w:val="24"/>
          <w:szCs w:val="24"/>
        </w:rPr>
      </w:r>
    </w:p>
    <w:p>
      <w:pPr>
        <w:pStyle w:val="ListParagraph"/>
        <w:ind w:left="0"/>
        <w:jc w:val="both"/>
        <w:rPr>
          <w:rFonts w:ascii="Times New Roman" w:hAnsi="Times New Roman" w:cs="Times New Roman"/>
          <w:sz w:val="24"/>
          <w:szCs w:val="24"/>
        </w:rPr>
      </w:pPr>
      <w:r>
        <w:rPr>
          <w:rFonts w:cs="Times New Roman" w:ascii="Times New Roman" w:hAnsi="Times New Roman"/>
          <w:sz w:val="24"/>
          <w:szCs w:val="24"/>
        </w:rPr>
        <w:tab/>
        <w:t>Na contestação, o sujeito passivo alega não teve ciência da intimação e, por este motivo, não teve a oportunidade de apresentar  a documentação para justificar os valores declarados, nem a oportunidade de se defender. Junto à petição, o requerente anexou laudo técnico do imóvel  e requer que sejam reconsideradas as áreas de  área de preservação permanente (APP); Reserva Legal (ARL); área coberta por florestas nativas (AFN) e área utilizada como pastagem, conforme discriminadas no quadro abaixo colado.</w:t>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drawing>
          <wp:inline distT="0" distB="0" distL="0" distR="0">
            <wp:extent cx="5026025" cy="322008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2"/>
                    <a:stretch>
                      <a:fillRect/>
                    </a:stretch>
                  </pic:blipFill>
                  <pic:spPr bwMode="auto">
                    <a:xfrm>
                      <a:off x="0" y="0"/>
                      <a:ext cx="5026025" cy="3220085"/>
                    </a:xfrm>
                    <a:prstGeom prst="rect">
                      <a:avLst/>
                    </a:prstGeom>
                  </pic:spPr>
                </pic:pic>
              </a:graphicData>
            </a:graphic>
          </wp:inline>
        </w:drawing>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r>
    </w:p>
    <w:p>
      <w:pPr>
        <w:pStyle w:val="ListParagraph"/>
        <w:ind w:hanging="0" w:left="0" w:right="-143"/>
        <w:rPr>
          <w:rFonts w:ascii="Times New Roman" w:hAnsi="Times New Roman" w:cs="Times New Roman"/>
          <w:b/>
          <w:bCs/>
          <w:sz w:val="24"/>
          <w:szCs w:val="24"/>
        </w:rPr>
      </w:pPr>
      <w:r>
        <w:rPr>
          <w:rFonts w:cs="Times New Roman" w:ascii="Times New Roman" w:hAnsi="Times New Roman"/>
          <w:b/>
          <w:bCs/>
          <w:sz w:val="24"/>
          <w:szCs w:val="24"/>
        </w:rPr>
      </w:r>
    </w:p>
    <w:p>
      <w:pPr>
        <w:pStyle w:val="ListParagraph"/>
        <w:ind w:hanging="0" w:left="0" w:right="-143"/>
        <w:rPr>
          <w:rFonts w:ascii="Times New Roman" w:hAnsi="Times New Roman" w:cs="Times New Roman"/>
          <w:b/>
          <w:bCs/>
          <w:sz w:val="24"/>
          <w:szCs w:val="24"/>
        </w:rPr>
      </w:pPr>
      <w:r>
        <w:rPr>
          <w:rFonts w:cs="Times New Roman" w:ascii="Times New Roman" w:hAnsi="Times New Roman"/>
          <w:b/>
          <w:bCs/>
          <w:sz w:val="24"/>
          <w:szCs w:val="24"/>
        </w:rPr>
        <w:tab/>
        <w:t>1) Área de Preservação Permanente – APP</w:t>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tab/>
        <w:t>As Áreas de Preservação Permanente (APP) são áreas intocáveis, onde não é permitido construir, cultivar ou explorar economicamente. Os limites das APP são rigidamente definidos e monitorados pelos órgãos ambientais, pois se trata de locais frágeis. Os desmatamentos ilegais nas APP causam erosões e deslizamentos, além de prejudicar nascentes, fauna, flora e biodiversidade dessas áreas.</w:t>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tab/>
        <w:t>As APP são definidas pela lei nº 12.651 de 25 de maio de 2.012 (Código florestal), como áreas na faixa marginal dos rios, topo dos morros, proximidade das nascentes, terrenos acima de 1.800m.  Para a APP existir basta que a condição geográfica seja atendida, independente do domínio da área ou da vegetação existente, sendo assim, existem APP em terrenos privados e públicos, na zona rural e na zona urbana. De forma resumida, as APP servem para proteção dos rios, solo e lençóis freáticos, de modo que o impacto humano não traga efeitos negativos a estas áreas.</w:t>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tab/>
        <w:t xml:space="preserve">Para que seja reconhecido o direito à isenção do imposto, relativamente à APP, é imprescindível que a área seja declarada em Ato Declaratório Ambiental – ADA, conforme exigência prevista  no §1º, art. 17- O, Lei Nº 6.938/81  e nos incisos I e II, do §3º, do art. 10 do Decreto Nº 4.832/2002, a seguir transcrito: </w:t>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r>
    </w:p>
    <w:p>
      <w:pPr>
        <w:pStyle w:val="ListParagraph"/>
        <w:ind w:left="1134"/>
        <w:rPr>
          <w:rFonts w:ascii="Times New Roman" w:hAnsi="Times New Roman" w:cs="Courier New"/>
          <w:color w:val="000000"/>
          <w:sz w:val="24"/>
          <w:szCs w:val="24"/>
          <w:shd w:fill="FFFFFF" w:val="clear"/>
        </w:rPr>
      </w:pPr>
      <w:r>
        <w:rPr>
          <w:rFonts w:cs="Courier New" w:ascii="Times New Roman" w:hAnsi="Times New Roman"/>
          <w:color w:val="000000"/>
          <w:sz w:val="24"/>
          <w:szCs w:val="24"/>
          <w:shd w:fill="FFFFFF" w:val="clear"/>
        </w:rPr>
      </w:r>
    </w:p>
    <w:p>
      <w:pPr>
        <w:pStyle w:val="ListParagraph"/>
        <w:pBdr>
          <w:top w:val="single" w:sz="4" w:space="1" w:color="000000"/>
          <w:left w:val="single" w:sz="4" w:space="4" w:color="000000"/>
          <w:bottom w:val="single" w:sz="4" w:space="1" w:color="000000"/>
          <w:right w:val="single" w:sz="4" w:space="4" w:color="000000"/>
        </w:pBdr>
        <w:ind w:left="1134"/>
        <w:jc w:val="both"/>
        <w:rPr>
          <w:rFonts w:ascii="Times New Roman" w:hAnsi="Times New Roman"/>
          <w:sz w:val="24"/>
          <w:szCs w:val="24"/>
        </w:rPr>
      </w:pPr>
      <w:r>
        <w:rPr>
          <w:rFonts w:cs="Courier New" w:ascii="Times New Roman" w:hAnsi="Times New Roman"/>
          <w:b/>
          <w:bCs/>
          <w:color w:val="000000"/>
          <w:sz w:val="24"/>
          <w:szCs w:val="24"/>
          <w:shd w:fill="FFFFFF" w:val="clear"/>
        </w:rPr>
        <w:t>Decreto Nº4.382 de 19 de setembro de 2002</w:t>
      </w:r>
    </w:p>
    <w:p>
      <w:pPr>
        <w:pStyle w:val="ListParagraph"/>
        <w:pBdr>
          <w:top w:val="single" w:sz="4" w:space="1" w:color="000000"/>
          <w:left w:val="single" w:sz="4" w:space="4" w:color="000000"/>
          <w:bottom w:val="single" w:sz="4" w:space="1" w:color="000000"/>
          <w:right w:val="single" w:sz="4" w:space="4" w:color="000000"/>
        </w:pBdr>
        <w:ind w:left="1134"/>
        <w:jc w:val="both"/>
        <w:rPr>
          <w:rFonts w:ascii="Times New Roman" w:hAnsi="Times New Roman" w:cs="Courier New"/>
          <w:b/>
          <w:bCs/>
          <w:color w:val="000000"/>
          <w:sz w:val="24"/>
          <w:szCs w:val="24"/>
          <w:shd w:fill="FFFFFF" w:val="clear"/>
        </w:rPr>
      </w:pPr>
      <w:r>
        <w:rPr>
          <w:rFonts w:cs="Courier New" w:ascii="Times New Roman" w:hAnsi="Times New Roman"/>
          <w:b/>
          <w:bCs/>
          <w:color w:val="000000"/>
          <w:sz w:val="24"/>
          <w:szCs w:val="24"/>
          <w:shd w:fill="FFFFFF" w:val="clear"/>
        </w:rPr>
      </w:r>
    </w:p>
    <w:p>
      <w:pPr>
        <w:pStyle w:val="ListParagraph"/>
        <w:pBdr>
          <w:top w:val="single" w:sz="4" w:space="1" w:color="000000"/>
          <w:left w:val="single" w:sz="4" w:space="4" w:color="000000"/>
          <w:bottom w:val="single" w:sz="4" w:space="1" w:color="000000"/>
          <w:right w:val="single" w:sz="4" w:space="4" w:color="000000"/>
        </w:pBdr>
        <w:ind w:left="1134"/>
        <w:jc w:val="both"/>
        <w:rPr>
          <w:rFonts w:ascii="Times New Roman" w:hAnsi="Times New Roman"/>
          <w:sz w:val="24"/>
          <w:szCs w:val="24"/>
        </w:rPr>
      </w:pPr>
      <w:r>
        <w:rPr>
          <w:rFonts w:cs="Courier New" w:ascii="Times New Roman" w:hAnsi="Times New Roman"/>
          <w:b/>
          <w:bCs/>
          <w:color w:val="000000"/>
          <w:sz w:val="24"/>
          <w:szCs w:val="24"/>
          <w:shd w:fill="FFFFFF" w:val="clear"/>
        </w:rPr>
        <w:t>Art. 10</w:t>
      </w:r>
      <w:r>
        <w:rPr>
          <w:rFonts w:cs="Courier New" w:ascii="Times New Roman" w:hAnsi="Times New Roman"/>
          <w:color w:val="000000"/>
          <w:sz w:val="24"/>
          <w:szCs w:val="24"/>
          <w:shd w:fill="FFFFFF" w:val="clear"/>
        </w:rPr>
        <w:t xml:space="preserve">  Área tributável é a área do imóvel, excluídas:</w:t>
      </w:r>
    </w:p>
    <w:p>
      <w:pPr>
        <w:pStyle w:val="ListParagraph"/>
        <w:pBdr>
          <w:top w:val="single" w:sz="4" w:space="1" w:color="000000"/>
          <w:left w:val="single" w:sz="4" w:space="4" w:color="000000"/>
          <w:bottom w:val="single" w:sz="4" w:space="1" w:color="000000"/>
          <w:right w:val="single" w:sz="4" w:space="4" w:color="000000"/>
        </w:pBdr>
        <w:ind w:left="1134"/>
        <w:jc w:val="both"/>
        <w:rPr>
          <w:rFonts w:ascii="Times New Roman" w:hAnsi="Times New Roman"/>
          <w:sz w:val="24"/>
          <w:szCs w:val="24"/>
        </w:rPr>
      </w:pPr>
      <w:r>
        <w:rPr>
          <w:rFonts w:cs="Courier New" w:ascii="Times New Roman" w:hAnsi="Times New Roman"/>
          <w:b/>
          <w:bCs/>
          <w:color w:val="000000"/>
          <w:sz w:val="24"/>
          <w:szCs w:val="24"/>
          <w:shd w:fill="FFFFFF" w:val="clear"/>
        </w:rPr>
        <w:t>I</w:t>
      </w:r>
      <w:r>
        <w:rPr>
          <w:rFonts w:cs="Courier New" w:ascii="Times New Roman" w:hAnsi="Times New Roman"/>
          <w:color w:val="000000"/>
          <w:sz w:val="24"/>
          <w:szCs w:val="24"/>
          <w:shd w:fill="FFFFFF" w:val="clear"/>
        </w:rPr>
        <w:t xml:space="preserve"> – de preservação permanente;</w:t>
      </w:r>
    </w:p>
    <w:p>
      <w:pPr>
        <w:pStyle w:val="ListParagraph"/>
        <w:pBdr>
          <w:top w:val="single" w:sz="4" w:space="1" w:color="000000"/>
          <w:left w:val="single" w:sz="4" w:space="4" w:color="000000"/>
          <w:bottom w:val="single" w:sz="4" w:space="1" w:color="000000"/>
          <w:right w:val="single" w:sz="4" w:space="4" w:color="000000"/>
        </w:pBdr>
        <w:ind w:left="1134"/>
        <w:jc w:val="both"/>
        <w:rPr>
          <w:rFonts w:ascii="Times New Roman" w:hAnsi="Times New Roman"/>
          <w:sz w:val="24"/>
          <w:szCs w:val="24"/>
        </w:rPr>
      </w:pPr>
      <w:r>
        <w:rPr>
          <w:rFonts w:cs="Courier New" w:ascii="Times New Roman" w:hAnsi="Times New Roman"/>
          <w:color w:val="000000"/>
          <w:sz w:val="24"/>
          <w:szCs w:val="24"/>
          <w:shd w:fill="FFFFFF" w:val="clear"/>
        </w:rPr>
        <w:t>(...)</w:t>
      </w:r>
    </w:p>
    <w:p>
      <w:pPr>
        <w:pStyle w:val="ListParagraph"/>
        <w:pBdr>
          <w:top w:val="single" w:sz="4" w:space="1" w:color="000000"/>
          <w:left w:val="single" w:sz="4" w:space="4" w:color="000000"/>
          <w:bottom w:val="single" w:sz="4" w:space="1" w:color="000000"/>
          <w:right w:val="single" w:sz="4" w:space="4" w:color="000000"/>
        </w:pBdr>
        <w:ind w:left="1134"/>
        <w:jc w:val="both"/>
        <w:rPr>
          <w:rFonts w:ascii="Times New Roman" w:hAnsi="Times New Roman"/>
          <w:sz w:val="24"/>
          <w:szCs w:val="24"/>
        </w:rPr>
      </w:pPr>
      <w:r>
        <w:rPr>
          <w:rFonts w:cs="Courier New" w:ascii="Times New Roman" w:hAnsi="Times New Roman"/>
          <w:color w:val="000000"/>
          <w:sz w:val="24"/>
          <w:szCs w:val="24"/>
        </w:rPr>
        <w:t> </w:t>
      </w:r>
    </w:p>
    <w:p>
      <w:pPr>
        <w:pStyle w:val="ListParagraph"/>
        <w:pBdr>
          <w:top w:val="single" w:sz="4" w:space="1" w:color="000000"/>
          <w:left w:val="single" w:sz="4" w:space="4" w:color="000000"/>
          <w:bottom w:val="single" w:sz="4" w:space="1" w:color="000000"/>
          <w:right w:val="single" w:sz="4" w:space="4" w:color="000000"/>
        </w:pBdr>
        <w:ind w:left="1134"/>
        <w:jc w:val="both"/>
        <w:rPr>
          <w:rFonts w:ascii="Times New Roman" w:hAnsi="Times New Roman"/>
          <w:sz w:val="24"/>
          <w:szCs w:val="24"/>
        </w:rPr>
      </w:pPr>
      <w:r>
        <w:rPr>
          <w:rFonts w:cs="Courier New" w:ascii="Times New Roman" w:hAnsi="Times New Roman"/>
          <w:b/>
          <w:bCs/>
          <w:color w:val="000000"/>
          <w:sz w:val="24"/>
          <w:szCs w:val="24"/>
        </w:rPr>
        <w:t>§3º</w:t>
      </w:r>
      <w:r>
        <w:rPr>
          <w:rFonts w:cs="Courier New" w:ascii="Times New Roman" w:hAnsi="Times New Roman"/>
          <w:color w:val="000000"/>
          <w:sz w:val="24"/>
          <w:szCs w:val="24"/>
        </w:rPr>
        <w:t xml:space="preserve"> Para fins de exclusão da área tributável, as áreas do imóvel  rural a que se refere o caput deverão:</w:t>
      </w:r>
    </w:p>
    <w:p>
      <w:pPr>
        <w:pStyle w:val="ListParagraph"/>
        <w:pBdr>
          <w:top w:val="single" w:sz="4" w:space="1" w:color="000000"/>
          <w:left w:val="single" w:sz="4" w:space="4" w:color="000000"/>
          <w:bottom w:val="single" w:sz="4" w:space="1" w:color="000000"/>
          <w:right w:val="single" w:sz="4" w:space="4" w:color="000000"/>
        </w:pBdr>
        <w:ind w:left="1134"/>
        <w:jc w:val="both"/>
        <w:rPr>
          <w:rFonts w:ascii="Times New Roman" w:hAnsi="Times New Roman" w:cs="Courier New"/>
          <w:color w:val="000000"/>
          <w:sz w:val="24"/>
          <w:szCs w:val="24"/>
        </w:rPr>
      </w:pPr>
      <w:r>
        <w:rPr>
          <w:rFonts w:cs="Courier New" w:ascii="Times New Roman" w:hAnsi="Times New Roman"/>
          <w:color w:val="000000"/>
          <w:sz w:val="24"/>
          <w:szCs w:val="24"/>
        </w:rPr>
      </w:r>
    </w:p>
    <w:p>
      <w:pPr>
        <w:pStyle w:val="ListParagraph"/>
        <w:pBdr>
          <w:top w:val="single" w:sz="4" w:space="1" w:color="000000"/>
          <w:left w:val="single" w:sz="4" w:space="4" w:color="000000"/>
          <w:bottom w:val="single" w:sz="4" w:space="1" w:color="000000"/>
          <w:right w:val="single" w:sz="4" w:space="4" w:color="000000"/>
        </w:pBdr>
        <w:ind w:left="1134"/>
        <w:jc w:val="both"/>
        <w:rPr/>
      </w:pPr>
      <w:r>
        <w:rPr>
          <w:rFonts w:cs="Courier New" w:ascii="Times New Roman" w:hAnsi="Times New Roman"/>
          <w:b/>
          <w:bCs/>
          <w:color w:val="000000"/>
          <w:sz w:val="24"/>
          <w:szCs w:val="24"/>
        </w:rPr>
        <w:t>I</w:t>
      </w:r>
      <w:r>
        <w:rPr>
          <w:rFonts w:cs="Courier New" w:ascii="Times New Roman" w:hAnsi="Times New Roman"/>
          <w:color w:val="000000"/>
          <w:sz w:val="24"/>
          <w:szCs w:val="24"/>
        </w:rPr>
        <w:t> - ser obrigatoriamente informadas em Ato Declaratório Ambiental - ADA, protocolado pelo sujeito passivo no Instituto Brasileiro do Meio Ambiente e dos Recursos Naturais Renováveis - IBAMA, nos prazos e condições fixados em ato normativo </w:t>
      </w:r>
      <w:r>
        <w:fldChar w:fldCharType="begin"/>
      </w:r>
      <w:r>
        <w:rPr>
          <w:rStyle w:val="Hyperlink"/>
          <w:sz w:val="24"/>
          <w:szCs w:val="24"/>
          <w:rFonts w:cs="Courier New" w:ascii="Times New Roman" w:hAnsi="Times New Roman"/>
        </w:rPr>
        <w:instrText xml:space="preserve"> HYPERLINK "http://www.planalto.gov.br/ccivil_03/LEIS/L6938.htm" \l "art17o§5"</w:instrText>
      </w:r>
      <w:r>
        <w:rPr>
          <w:rStyle w:val="Hyperlink"/>
          <w:sz w:val="24"/>
          <w:szCs w:val="24"/>
          <w:rFonts w:cs="Courier New" w:ascii="Times New Roman" w:hAnsi="Times New Roman"/>
        </w:rPr>
        <w:fldChar w:fldCharType="separate"/>
      </w:r>
      <w:r>
        <w:rPr>
          <w:rStyle w:val="Hyperlink"/>
          <w:rFonts w:cs="Courier New" w:ascii="Times New Roman" w:hAnsi="Times New Roman"/>
          <w:sz w:val="24"/>
          <w:szCs w:val="24"/>
        </w:rPr>
        <w:t>(Lei n</w:t>
      </w:r>
      <w:r>
        <w:rPr>
          <w:rStyle w:val="Hyperlink"/>
          <w:sz w:val="24"/>
          <w:szCs w:val="24"/>
          <w:rFonts w:cs="Courier New" w:ascii="Times New Roman" w:hAnsi="Times New Roman"/>
        </w:rPr>
        <w:fldChar w:fldCharType="end"/>
      </w:r>
      <w:r>
        <w:rPr>
          <w:rStyle w:val="Hyperlink"/>
          <w:rFonts w:cs="Courier New" w:ascii="Times New Roman" w:hAnsi="Times New Roman"/>
          <w:strike/>
          <w:sz w:val="24"/>
          <w:szCs w:val="24"/>
        </w:rPr>
        <w:t>º</w:t>
      </w:r>
      <w:r>
        <w:rPr>
          <w:rStyle w:val="Hyperlink"/>
          <w:rFonts w:cs="Courier New" w:ascii="Times New Roman" w:hAnsi="Times New Roman"/>
          <w:sz w:val="24"/>
          <w:szCs w:val="24"/>
        </w:rPr>
        <w:t> 6.938, de 31 de agosto de 1981, art. 17-O, § 5</w:t>
      </w:r>
      <w:r>
        <w:rPr>
          <w:rStyle w:val="Hyperlink"/>
          <w:rFonts w:cs="Courier New" w:ascii="Times New Roman" w:hAnsi="Times New Roman"/>
          <w:strike/>
          <w:sz w:val="24"/>
          <w:szCs w:val="24"/>
        </w:rPr>
        <w:t>º</w:t>
      </w:r>
      <w:r>
        <w:rPr>
          <w:rFonts w:cs="Courier New" w:ascii="Times New Roman" w:hAnsi="Times New Roman"/>
          <w:color w:val="000000"/>
          <w:sz w:val="24"/>
          <w:szCs w:val="24"/>
        </w:rPr>
        <w:t>, com a redação dada pelo </w:t>
      </w:r>
      <w:r>
        <w:fldChar w:fldCharType="begin"/>
      </w:r>
      <w:r>
        <w:rPr>
          <w:rStyle w:val="Hyperlink"/>
          <w:sz w:val="24"/>
          <w:szCs w:val="24"/>
          <w:rFonts w:cs="Courier New" w:ascii="Times New Roman" w:hAnsi="Times New Roman"/>
        </w:rPr>
        <w:instrText xml:space="preserve"> HYPERLINK "http://www.planalto.gov.br/ccivil_03/LEIS/L10165.htm" \l "art1"</w:instrText>
      </w:r>
      <w:r>
        <w:rPr>
          <w:rStyle w:val="Hyperlink"/>
          <w:sz w:val="24"/>
          <w:szCs w:val="24"/>
          <w:rFonts w:cs="Courier New" w:ascii="Times New Roman" w:hAnsi="Times New Roman"/>
        </w:rPr>
        <w:fldChar w:fldCharType="separate"/>
      </w:r>
      <w:r>
        <w:rPr>
          <w:rStyle w:val="Hyperlink"/>
          <w:rFonts w:cs="Courier New" w:ascii="Times New Roman" w:hAnsi="Times New Roman"/>
          <w:sz w:val="24"/>
          <w:szCs w:val="24"/>
        </w:rPr>
        <w:t>art. 1</w:t>
      </w:r>
      <w:r>
        <w:rPr>
          <w:rStyle w:val="Hyperlink"/>
          <w:sz w:val="24"/>
          <w:szCs w:val="24"/>
          <w:rFonts w:cs="Courier New" w:ascii="Times New Roman" w:hAnsi="Times New Roman"/>
        </w:rPr>
        <w:fldChar w:fldCharType="end"/>
      </w:r>
      <w:r>
        <w:rPr>
          <w:rStyle w:val="Hyperlink"/>
          <w:rFonts w:cs="Courier New" w:ascii="Times New Roman" w:hAnsi="Times New Roman"/>
          <w:strike/>
          <w:sz w:val="24"/>
          <w:szCs w:val="24"/>
        </w:rPr>
        <w:t>º</w:t>
      </w:r>
      <w:r>
        <w:rPr>
          <w:rStyle w:val="Hyperlink"/>
          <w:rFonts w:cs="Courier New" w:ascii="Times New Roman" w:hAnsi="Times New Roman"/>
          <w:sz w:val="24"/>
          <w:szCs w:val="24"/>
        </w:rPr>
        <w:t> da Lei n</w:t>
      </w:r>
      <w:r>
        <w:rPr>
          <w:rStyle w:val="Hyperlink"/>
          <w:rFonts w:cs="Courier New" w:ascii="Times New Roman" w:hAnsi="Times New Roman"/>
          <w:strike/>
          <w:sz w:val="24"/>
          <w:szCs w:val="24"/>
        </w:rPr>
        <w:t>º</w:t>
      </w:r>
      <w:r>
        <w:rPr>
          <w:rStyle w:val="Hyperlink"/>
          <w:rFonts w:cs="Courier New" w:ascii="Times New Roman" w:hAnsi="Times New Roman"/>
          <w:sz w:val="24"/>
          <w:szCs w:val="24"/>
        </w:rPr>
        <w:t> 10.165, de 27 de dezembro de 2000)</w:t>
      </w:r>
      <w:r>
        <w:rPr>
          <w:rFonts w:cs="Courier New" w:ascii="Times New Roman" w:hAnsi="Times New Roman"/>
          <w:color w:val="000000"/>
          <w:sz w:val="24"/>
          <w:szCs w:val="24"/>
        </w:rPr>
        <w:t>; e</w:t>
      </w:r>
    </w:p>
    <w:p>
      <w:pPr>
        <w:pStyle w:val="ListParagraph"/>
        <w:pBdr>
          <w:top w:val="single" w:sz="4" w:space="1" w:color="000000"/>
          <w:left w:val="single" w:sz="4" w:space="4" w:color="000000"/>
          <w:bottom w:val="single" w:sz="4" w:space="1" w:color="000000"/>
          <w:right w:val="single" w:sz="4" w:space="4" w:color="000000"/>
        </w:pBdr>
        <w:ind w:left="1134"/>
        <w:jc w:val="both"/>
        <w:rPr>
          <w:rFonts w:ascii="Times New Roman" w:hAnsi="Times New Roman"/>
          <w:sz w:val="24"/>
          <w:szCs w:val="24"/>
        </w:rPr>
      </w:pPr>
      <w:r>
        <w:rPr>
          <w:rFonts w:cs="Courier New" w:ascii="Times New Roman" w:hAnsi="Times New Roman"/>
          <w:b/>
          <w:bCs/>
          <w:color w:val="000000"/>
          <w:sz w:val="24"/>
          <w:szCs w:val="24"/>
        </w:rPr>
        <w:t>II</w:t>
      </w:r>
      <w:r>
        <w:rPr>
          <w:rFonts w:cs="Courier New" w:ascii="Times New Roman" w:hAnsi="Times New Roman"/>
          <w:color w:val="000000"/>
          <w:sz w:val="24"/>
          <w:szCs w:val="24"/>
        </w:rPr>
        <w:t> - estar enquadradas nas hipóteses previstas nos incisos I a VI em 1</w:t>
      </w:r>
      <w:r>
        <w:rPr>
          <w:rFonts w:cs="Courier New" w:ascii="Times New Roman" w:hAnsi="Times New Roman"/>
          <w:strike/>
          <w:color w:val="000000"/>
          <w:sz w:val="24"/>
          <w:szCs w:val="24"/>
        </w:rPr>
        <w:t>º</w:t>
      </w:r>
      <w:r>
        <w:rPr>
          <w:rFonts w:cs="Courier New" w:ascii="Times New Roman" w:hAnsi="Times New Roman"/>
          <w:color w:val="000000"/>
          <w:sz w:val="24"/>
          <w:szCs w:val="24"/>
        </w:rPr>
        <w:t> de janeiro do ano de ocorrência do fato gerador</w:t>
      </w:r>
    </w:p>
    <w:p>
      <w:pPr>
        <w:pStyle w:val="ListParagraph"/>
        <w:ind w:firstLine="1418" w:left="0"/>
        <w:jc w:val="both"/>
        <w:rPr>
          <w:rFonts w:ascii="Times New Roman" w:hAnsi="Times New Roman" w:cs="Courier New"/>
          <w:color w:val="000000"/>
          <w:sz w:val="24"/>
          <w:szCs w:val="24"/>
        </w:rPr>
      </w:pPr>
      <w:r>
        <w:rPr>
          <w:rFonts w:cs="Courier New" w:ascii="Times New Roman" w:hAnsi="Times New Roman"/>
          <w:color w:val="000000"/>
          <w:sz w:val="24"/>
          <w:szCs w:val="24"/>
        </w:rPr>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drawing>
          <wp:inline distT="0" distB="0" distL="0" distR="0">
            <wp:extent cx="5396230" cy="3576955"/>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5396230" cy="3576955"/>
                    </a:xfrm>
                    <a:prstGeom prst="rect">
                      <a:avLst/>
                    </a:prstGeom>
                  </pic:spPr>
                </pic:pic>
              </a:graphicData>
            </a:graphic>
          </wp:inline>
        </w:drawing>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tab/>
        <w:t>Considerando que foi apresentado laudo técnico, demonstrando a existência de 180,9ha de APP como mata ciliar ao longo de cursos d’água no interior do imóvel (fig abaixo colada) e, considerando ainda que a referida área de APP foi declarada no ADA, referente ao exercício de 2020. logo, a quantia de 180,9ha atende aos requisitos legais para ser excluída da base de cálculo, a título de área de preservação permanente.</w:t>
      </w:r>
    </w:p>
    <w:p>
      <w:pPr>
        <w:pStyle w:val="ListParagraph"/>
        <w:ind w:hanging="0" w:left="0" w:right="-143"/>
        <w:rPr>
          <w:rFonts w:ascii="Times New Roman" w:hAnsi="Times New Roman" w:cs="Times New Roman"/>
          <w:sz w:val="24"/>
          <w:szCs w:val="24"/>
        </w:rPr>
      </w:pPr>
      <w:r>
        <w:rPr>
          <w:rFonts w:cs="Times New Roman" w:ascii="Times New Roman" w:hAnsi="Times New Roman"/>
          <w:sz w:val="24"/>
          <w:szCs w:val="24"/>
        </w:rPr>
      </w:r>
    </w:p>
    <w:p>
      <w:pPr>
        <w:pStyle w:val="ListParagraph"/>
        <w:ind w:left="0"/>
        <w:jc w:val="center"/>
        <w:rPr>
          <w:rFonts w:ascii="Times New Roman" w:hAnsi="Times New Roman"/>
          <w:sz w:val="24"/>
          <w:szCs w:val="24"/>
        </w:rPr>
      </w:pPr>
      <w:r>
        <w:rPr>
          <w:rFonts w:cs="Calibri" w:ascii="Times New Roman" w:hAnsi="Times New Roman" w:cstheme="minorHAnsi"/>
          <w:color w:val="FF0000"/>
          <w:sz w:val="24"/>
          <w:szCs w:val="24"/>
        </w:rPr>
        <w:t>Imagem copiada do laudo técnico anexado à impugnação intempestiva</w:t>
      </w:r>
    </w:p>
    <w:p>
      <w:pPr>
        <w:pStyle w:val="ListParagraph"/>
        <w:ind w:left="0"/>
        <w:jc w:val="both"/>
        <w:rPr>
          <w:rFonts w:ascii="Times New Roman" w:hAnsi="Times New Roman"/>
          <w:sz w:val="24"/>
          <w:szCs w:val="24"/>
        </w:rPr>
      </w:pPr>
      <w:r>
        <w:rPr>
          <w:rFonts w:ascii="Times New Roman" w:hAnsi="Times New Roman"/>
          <w:sz w:val="24"/>
          <w:szCs w:val="24"/>
        </w:rPr>
        <w:drawing>
          <wp:inline distT="0" distB="0" distL="0" distR="0">
            <wp:extent cx="5391150" cy="2838450"/>
            <wp:effectExtent l="0" t="0" r="0" b="0"/>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tretch>
                      <a:fillRect/>
                    </a:stretch>
                  </pic:blipFill>
                  <pic:spPr bwMode="auto">
                    <a:xfrm>
                      <a:off x="0" y="0"/>
                      <a:ext cx="5391150" cy="2838450"/>
                    </a:xfrm>
                    <a:prstGeom prst="rect">
                      <a:avLst/>
                    </a:prstGeom>
                  </pic:spPr>
                </pic:pic>
              </a:graphicData>
            </a:graphic>
          </wp:inline>
        </w:drawing>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b/>
          <w:bCs/>
          <w:sz w:val="24"/>
          <w:szCs w:val="24"/>
        </w:rPr>
      </w:pPr>
      <w:r>
        <w:rPr>
          <w:rFonts w:ascii="Times New Roman" w:hAnsi="Times New Roman"/>
          <w:b/>
          <w:bCs/>
          <w:sz w:val="24"/>
          <w:szCs w:val="24"/>
        </w:rPr>
        <w:tab/>
        <w:t>2)  Área de Reserva Legal</w:t>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tab/>
        <w:t>A  alínea “a”, inciso II, §1º, art.  10 da Lei nº 9.393/96 permite excluir da área tributável a área de reserva legal, prevista na Lei 12.651/2012.</w:t>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tab/>
        <w:t>De acordo com o inciso III, do art. 3º da Lei nº 12.651/2012,  “entende-se por Reserva Legal a área localizada no interior de uma propriedade ou posse rural, delimitada, nos termos do art. 12, com a função de assegurar o uso econômico de modo sustentável dos recursos naturais do imóvel rural, auxiliar a conservação e a reabilitação dos processos ecológicos e promover a conservação da biodiversidade, bem como o abrigo e a proteção de fauna silvestre e da flora nativa.”  O art. 12 retromencionado, estabeleceu os percentuais mínimos da área de reserva legal em relação à área do imóvel, de acordo com o bioma em este se localiza.</w:t>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tab/>
        <w:t>O art. 18 da já citada Lei nº 12.651/2012, determina que a área de Reserva Legal  deverá ser registrada no órgão ambiental  competente por meio de inscrição no CAR. Já art. 30 da mesma lei, desobriga a inscrição, nos casos em que  a Reserva Legal já tenha sido averbada na matrícula do imóvel  e em que essa averbação identifique o perímetro e a localização da reserva.</w:t>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tab/>
        <w:t>Em síntese, para ser excluída da tributação do ITR, a área correspondente à Reserva Legal deve estar registrada no Órgão ambiental competente por meio de inscrição no CAR ou estar averbada na margem da matrícula do imóvel, em que a averbação identifique o perímetro e a localização da reserva; conforme determinação prevista no  art. 18 c/c art. 30 ambos da Lei Nº 12.651/2012 (Código Florestal). Portanto, a área equivalente a 443,87ha, declarada como área de reserva legal, atende aos requisitos para ser excluída da base de cálculo do ITR.</w:t>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drawing>
          <wp:inline distT="0" distB="0" distL="0" distR="0">
            <wp:extent cx="4173220" cy="3192780"/>
            <wp:effectExtent l="0" t="0" r="0" b="0"/>
            <wp:docPr id="4"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
                    <pic:cNvPicPr>
                      <a:picLocks noChangeAspect="1" noChangeArrowheads="1"/>
                    </pic:cNvPicPr>
                  </pic:nvPicPr>
                  <pic:blipFill>
                    <a:blip r:embed="rId5"/>
                    <a:stretch>
                      <a:fillRect/>
                    </a:stretch>
                  </pic:blipFill>
                  <pic:spPr bwMode="auto">
                    <a:xfrm>
                      <a:off x="0" y="0"/>
                      <a:ext cx="4173220" cy="3192780"/>
                    </a:xfrm>
                    <a:prstGeom prst="rect">
                      <a:avLst/>
                    </a:prstGeom>
                  </pic:spPr>
                </pic:pic>
              </a:graphicData>
            </a:graphic>
          </wp:inline>
        </w:drawing>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b/>
          <w:bCs/>
          <w:sz w:val="24"/>
          <w:szCs w:val="24"/>
        </w:rPr>
      </w:pPr>
      <w:r>
        <w:rPr>
          <w:rFonts w:ascii="Times New Roman" w:hAnsi="Times New Roman"/>
          <w:b/>
          <w:bCs/>
          <w:sz w:val="24"/>
          <w:szCs w:val="24"/>
        </w:rPr>
        <w:tab/>
        <w:t>3) Áreas cobertas por florestas nativas</w:t>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tab/>
        <w:t>O autor pretende excluir da tributação a quantia de 1.732,3ha, a título de área coberta por floresta nativa. Entretanto, para exclusão das áreas cobertas por florestas nativas da incidência do ITR é necessário que o contribuinte apresente o ADA ao Ibama, a cada exercício, e que atendam ao disposto na legislação pertinente, conforme exigência prevista  no §1º, art. 17-O, Lei Nº 6.938/81, com redação dada pela Lei Nº 10.165/2000. Vale salientar que o Ato Declaratório Ambiental  -ADA, referente ao exercício de 2020, não contém área coberta por florestas nativas, logo não cabe excluir tal área da base de cálculo do imposto.</w:t>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b/>
          <w:bCs/>
          <w:sz w:val="24"/>
          <w:szCs w:val="24"/>
        </w:rPr>
      </w:pPr>
      <w:r>
        <w:rPr>
          <w:rFonts w:ascii="Times New Roman" w:hAnsi="Times New Roman"/>
          <w:b/>
          <w:bCs/>
          <w:sz w:val="24"/>
          <w:szCs w:val="24"/>
        </w:rPr>
        <w:tab/>
        <w:t>4</w:t>
      </w:r>
      <w:r>
        <w:rPr>
          <w:rFonts w:ascii="Times New Roman" w:hAnsi="Times New Roman"/>
          <w:b/>
          <w:bCs/>
          <w:sz w:val="24"/>
          <w:szCs w:val="24"/>
        </w:rPr>
        <w:t>) Área de Pastagem</w:t>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r>
    </w:p>
    <w:p>
      <w:pPr>
        <w:pStyle w:val="ListParagraph"/>
        <w:ind w:left="0"/>
        <w:jc w:val="both"/>
        <w:rPr>
          <w:rFonts w:ascii="Times New Roman" w:hAnsi="Times New Roman"/>
          <w:sz w:val="24"/>
          <w:szCs w:val="24"/>
        </w:rPr>
      </w:pPr>
      <w:r>
        <w:rPr>
          <w:rFonts w:ascii="Times New Roman" w:hAnsi="Times New Roman"/>
          <w:sz w:val="24"/>
          <w:szCs w:val="24"/>
        </w:rPr>
        <w:tab/>
        <w:t>O Decreto Nº 4.382 de 19 de setembro de 2002, em seu art. 18, II c/c art. 24 define o pode ser considerado como área de pastagem para fins do imposto sobre a propriedade territorial rural – ITR:</w:t>
      </w:r>
    </w:p>
    <w:p>
      <w:pPr>
        <w:pStyle w:val="ListParagraph"/>
        <w:ind w:left="0"/>
        <w:jc w:val="both"/>
        <w:rPr>
          <w:rFonts w:ascii="Times New Roman" w:hAnsi="Times New Roman"/>
          <w:sz w:val="24"/>
          <w:szCs w:val="24"/>
        </w:rPr>
      </w:pPr>
      <w:r>
        <w:rPr>
          <w:rFonts w:ascii="Times New Roman" w:hAnsi="Times New Roman"/>
          <w:sz w:val="24"/>
          <w:szCs w:val="24"/>
        </w:rPr>
      </w:r>
    </w:p>
    <w:p>
      <w:pPr>
        <w:pStyle w:val="NoSpacing"/>
        <w:pBdr>
          <w:top w:val="single" w:sz="4" w:space="1" w:color="000000"/>
          <w:left w:val="single" w:sz="4" w:space="4" w:color="000000"/>
          <w:bottom w:val="single" w:sz="4" w:space="1" w:color="000000"/>
          <w:right w:val="single" w:sz="4" w:space="4" w:color="000000"/>
        </w:pBdr>
        <w:ind w:left="1134"/>
        <w:rPr>
          <w:rFonts w:ascii="Times New Roman" w:hAnsi="Times New Roman"/>
          <w:sz w:val="24"/>
          <w:szCs w:val="24"/>
        </w:rPr>
      </w:pPr>
      <w:r>
        <w:rPr>
          <w:rFonts w:cs="Courier New" w:ascii="Times New Roman" w:hAnsi="Times New Roman"/>
          <w:b/>
          <w:bCs/>
          <w:sz w:val="24"/>
          <w:szCs w:val="24"/>
          <w:lang w:val="pt-BR"/>
        </w:rPr>
        <w:t> </w:t>
      </w:r>
      <w:r>
        <w:rPr>
          <w:rFonts w:cs="Courier New" w:ascii="Times New Roman" w:hAnsi="Times New Roman"/>
          <w:b/>
          <w:bCs/>
          <w:sz w:val="24"/>
          <w:szCs w:val="24"/>
          <w:lang w:val="pt-BR"/>
        </w:rPr>
        <w:t>Decreto Nº4.382/2002</w:t>
      </w:r>
    </w:p>
    <w:p>
      <w:pPr>
        <w:pStyle w:val="NoSpacing"/>
        <w:pBdr>
          <w:top w:val="single" w:sz="4" w:space="1" w:color="000000"/>
          <w:left w:val="single" w:sz="4" w:space="4" w:color="000000"/>
          <w:bottom w:val="single" w:sz="4" w:space="1" w:color="000000"/>
          <w:right w:val="single" w:sz="4" w:space="4" w:color="000000"/>
        </w:pBdr>
        <w:ind w:left="1134"/>
        <w:rPr>
          <w:rFonts w:ascii="Times New Roman" w:hAnsi="Times New Roman" w:cs="Courier New"/>
          <w:sz w:val="24"/>
          <w:szCs w:val="24"/>
          <w:lang w:val="pt-BR"/>
        </w:rPr>
      </w:pPr>
      <w:r>
        <w:rPr>
          <w:rFonts w:cs="Courier New" w:ascii="Times New Roman" w:hAnsi="Times New Roman"/>
          <w:sz w:val="24"/>
          <w:szCs w:val="24"/>
          <w:lang w:val="pt-BR"/>
        </w:rPr>
      </w:r>
    </w:p>
    <w:p>
      <w:pPr>
        <w:pStyle w:val="NoSpacing"/>
        <w:pBdr>
          <w:top w:val="single" w:sz="4" w:space="1" w:color="000000"/>
          <w:left w:val="single" w:sz="4" w:space="4" w:color="000000"/>
          <w:bottom w:val="single" w:sz="4" w:space="1" w:color="000000"/>
          <w:right w:val="single" w:sz="4" w:space="4" w:color="000000"/>
        </w:pBdr>
        <w:ind w:left="1134"/>
        <w:rPr/>
      </w:pPr>
      <w:r>
        <w:rPr>
          <w:rFonts w:cs="Courier New" w:ascii="Times New Roman" w:hAnsi="Times New Roman"/>
          <w:sz w:val="24"/>
          <w:szCs w:val="24"/>
          <w:lang w:val="pt-BR"/>
        </w:rPr>
        <w:t xml:space="preserve"> </w:t>
      </w:r>
      <w:r>
        <w:rPr>
          <w:rFonts w:cs="Courier New" w:ascii="Times New Roman" w:hAnsi="Times New Roman"/>
          <w:sz w:val="24"/>
          <w:szCs w:val="24"/>
          <w:lang w:val="pt-BR"/>
        </w:rPr>
        <w:t>Art. 18. Área efetivamente utilizada pela atividade rural é a porção da área aproveitável do imóvel rural que, no ano anterior ao de ocorrência do fato gerador do ITR, tenha </w:t>
      </w:r>
      <w:r>
        <w:fldChar w:fldCharType="begin"/>
      </w:r>
      <w:r>
        <w:rPr>
          <w:rStyle w:val="Hyperlink"/>
          <w:sz w:val="24"/>
          <w:szCs w:val="24"/>
          <w:rFonts w:cs="Courier New" w:ascii="Times New Roman" w:hAnsi="Times New Roman"/>
          <w:lang w:val="pt-BR"/>
        </w:rPr>
        <w:instrText xml:space="preserve"> HYPERLINK "http://www.planalto.gov.br/ccivil_03/LEIS/L9393.htm" \l "art10§1v"</w:instrText>
      </w:r>
      <w:r>
        <w:rPr>
          <w:rStyle w:val="Hyperlink"/>
          <w:sz w:val="24"/>
          <w:szCs w:val="24"/>
          <w:rFonts w:cs="Courier New" w:ascii="Times New Roman" w:hAnsi="Times New Roman"/>
          <w:lang w:val="pt-BR"/>
        </w:rPr>
        <w:fldChar w:fldCharType="separate"/>
      </w:r>
      <w:r>
        <w:rPr>
          <w:rStyle w:val="Hyperlink"/>
          <w:rFonts w:cs="Courier New" w:ascii="Times New Roman" w:hAnsi="Times New Roman"/>
          <w:sz w:val="24"/>
          <w:szCs w:val="24"/>
          <w:lang w:val="pt-BR"/>
        </w:rPr>
        <w:t>(Lei n</w:t>
      </w:r>
      <w:r>
        <w:rPr>
          <w:rStyle w:val="Hyperlink"/>
          <w:sz w:val="24"/>
          <w:szCs w:val="24"/>
          <w:rFonts w:cs="Courier New" w:ascii="Times New Roman" w:hAnsi="Times New Roman"/>
          <w:lang w:val="pt-BR"/>
        </w:rPr>
        <w:fldChar w:fldCharType="end"/>
      </w:r>
      <w:r>
        <w:rPr>
          <w:rStyle w:val="Hyperlink"/>
          <w:rFonts w:cs="Courier New" w:ascii="Times New Roman" w:hAnsi="Times New Roman"/>
          <w:strike/>
          <w:sz w:val="24"/>
          <w:szCs w:val="24"/>
          <w:lang w:val="pt-BR"/>
        </w:rPr>
        <w:t>º</w:t>
      </w:r>
      <w:r>
        <w:rPr>
          <w:rStyle w:val="Hyperlink"/>
          <w:rFonts w:cs="Courier New" w:ascii="Times New Roman" w:hAnsi="Times New Roman"/>
          <w:sz w:val="24"/>
          <w:szCs w:val="24"/>
          <w:lang w:val="pt-BR"/>
        </w:rPr>
        <w:t> 9.393, de 1996, art. 10, § 1</w:t>
      </w:r>
      <w:r>
        <w:rPr>
          <w:rStyle w:val="Hyperlink"/>
          <w:rFonts w:cs="Courier New" w:ascii="Times New Roman" w:hAnsi="Times New Roman"/>
          <w:strike/>
          <w:sz w:val="24"/>
          <w:szCs w:val="24"/>
          <w:lang w:val="pt-BR"/>
        </w:rPr>
        <w:t>º</w:t>
      </w:r>
      <w:r>
        <w:rPr>
          <w:rStyle w:val="Hyperlink"/>
          <w:rFonts w:cs="Courier New" w:ascii="Times New Roman" w:hAnsi="Times New Roman"/>
          <w:sz w:val="24"/>
          <w:szCs w:val="24"/>
          <w:lang w:val="pt-BR"/>
        </w:rPr>
        <w:t>, inciso V</w:t>
      </w:r>
      <w:r>
        <w:rPr>
          <w:rFonts w:cs="Courier New" w:ascii="Times New Roman" w:hAnsi="Times New Roman"/>
          <w:sz w:val="24"/>
          <w:szCs w:val="24"/>
          <w:lang w:val="pt-BR"/>
        </w:rPr>
        <w:t>, e </w:t>
      </w:r>
      <w:r>
        <w:fldChar w:fldCharType="begin"/>
      </w:r>
      <w:r>
        <w:rPr>
          <w:rStyle w:val="Hyperlink"/>
          <w:sz w:val="24"/>
          <w:szCs w:val="24"/>
          <w:rFonts w:cs="Courier New" w:ascii="Times New Roman" w:hAnsi="Times New Roman"/>
          <w:lang w:val="pt-BR"/>
        </w:rPr>
        <w:instrText xml:space="preserve"> HYPERLINK "http://www.planalto.gov.br/ccivil_03/LEIS/L9393.htm" \l "art10§6"</w:instrText>
      </w:r>
      <w:r>
        <w:rPr>
          <w:rStyle w:val="Hyperlink"/>
          <w:sz w:val="24"/>
          <w:szCs w:val="24"/>
          <w:rFonts w:cs="Courier New" w:ascii="Times New Roman" w:hAnsi="Times New Roman"/>
          <w:lang w:val="pt-BR"/>
        </w:rPr>
        <w:fldChar w:fldCharType="separate"/>
      </w:r>
      <w:r>
        <w:rPr>
          <w:rStyle w:val="Hyperlink"/>
          <w:rFonts w:cs="Courier New" w:ascii="Times New Roman" w:hAnsi="Times New Roman"/>
          <w:sz w:val="24"/>
          <w:szCs w:val="24"/>
          <w:lang w:val="pt-BR"/>
        </w:rPr>
        <w:t>§ 6</w:t>
      </w:r>
      <w:r>
        <w:rPr>
          <w:rStyle w:val="Hyperlink"/>
          <w:sz w:val="24"/>
          <w:szCs w:val="24"/>
          <w:rFonts w:cs="Courier New" w:ascii="Times New Roman" w:hAnsi="Times New Roman"/>
          <w:lang w:val="pt-BR"/>
        </w:rPr>
        <w:fldChar w:fldCharType="end"/>
      </w:r>
      <w:r>
        <w:rPr>
          <w:rStyle w:val="Hyperlink"/>
          <w:rFonts w:cs="Courier New" w:ascii="Times New Roman" w:hAnsi="Times New Roman"/>
          <w:strike/>
          <w:sz w:val="24"/>
          <w:szCs w:val="24"/>
          <w:lang w:val="pt-BR"/>
        </w:rPr>
        <w:t>º</w:t>
      </w:r>
      <w:r>
        <w:rPr>
          <w:rStyle w:val="Hyperlink"/>
          <w:rFonts w:cs="Courier New" w:ascii="Times New Roman" w:hAnsi="Times New Roman"/>
          <w:sz w:val="24"/>
          <w:szCs w:val="24"/>
          <w:lang w:val="pt-BR"/>
        </w:rPr>
        <w:t>)</w:t>
      </w:r>
      <w:r>
        <w:rPr>
          <w:rFonts w:cs="Courier New" w:ascii="Times New Roman" w:hAnsi="Times New Roman"/>
          <w:sz w:val="24"/>
          <w:szCs w:val="24"/>
          <w:lang w:val="pt-BR"/>
        </w:rPr>
        <w:t>:</w:t>
      </w:r>
    </w:p>
    <w:p>
      <w:pPr>
        <w:pStyle w:val="NoSpacing"/>
        <w:pBdr>
          <w:top w:val="single" w:sz="4" w:space="1" w:color="000000"/>
          <w:left w:val="single" w:sz="4" w:space="4" w:color="000000"/>
          <w:bottom w:val="single" w:sz="4" w:space="1" w:color="000000"/>
          <w:right w:val="single" w:sz="4" w:space="4" w:color="000000"/>
        </w:pBdr>
        <w:ind w:left="1134"/>
        <w:rPr>
          <w:rFonts w:ascii="Times New Roman" w:hAnsi="Times New Roman"/>
          <w:sz w:val="24"/>
          <w:szCs w:val="24"/>
        </w:rPr>
      </w:pPr>
      <w:r>
        <w:rPr>
          <w:rFonts w:cs="Courier New" w:ascii="Times New Roman" w:hAnsi="Times New Roman"/>
          <w:sz w:val="24"/>
          <w:szCs w:val="24"/>
          <w:lang w:val="pt-BR"/>
        </w:rPr>
        <w:t xml:space="preserve">        </w:t>
      </w:r>
      <w:r>
        <w:rPr>
          <w:rFonts w:cs="Courier New" w:ascii="Times New Roman" w:hAnsi="Times New Roman"/>
          <w:sz w:val="24"/>
          <w:szCs w:val="24"/>
          <w:lang w:val="pt-BR"/>
        </w:rPr>
        <w:t>I – (...)</w:t>
      </w:r>
    </w:p>
    <w:p>
      <w:pPr>
        <w:pStyle w:val="NoSpacing"/>
        <w:pBdr>
          <w:top w:val="single" w:sz="4" w:space="1" w:color="000000"/>
          <w:left w:val="single" w:sz="4" w:space="4" w:color="000000"/>
          <w:bottom w:val="single" w:sz="4" w:space="1" w:color="000000"/>
          <w:right w:val="single" w:sz="4" w:space="4" w:color="000000"/>
        </w:pBdr>
        <w:ind w:left="1134"/>
        <w:rPr>
          <w:rFonts w:ascii="Times New Roman" w:hAnsi="Times New Roman"/>
          <w:sz w:val="24"/>
          <w:szCs w:val="24"/>
        </w:rPr>
      </w:pPr>
      <w:r>
        <w:rPr>
          <w:rFonts w:cs="Courier New" w:ascii="Times New Roman" w:hAnsi="Times New Roman"/>
          <w:sz w:val="24"/>
          <w:szCs w:val="24"/>
          <w:lang w:val="pt-BR"/>
        </w:rPr>
        <w:t xml:space="preserve">        </w:t>
      </w:r>
      <w:r>
        <w:rPr>
          <w:rFonts w:cs="Courier New" w:ascii="Times New Roman" w:hAnsi="Times New Roman"/>
          <w:sz w:val="24"/>
          <w:szCs w:val="24"/>
          <w:lang w:val="pt-BR"/>
        </w:rPr>
        <w:t>II - Servido de pastagem, nativa ou plantada, observados, quando aplicáveis, os índices de lotação por zona de pecuária a que se refere o art. 24;</w:t>
      </w:r>
    </w:p>
    <w:p>
      <w:pPr>
        <w:pStyle w:val="NoSpacing"/>
        <w:pBdr>
          <w:top w:val="single" w:sz="4" w:space="1" w:color="000000"/>
          <w:left w:val="single" w:sz="4" w:space="4" w:color="000000"/>
          <w:bottom w:val="single" w:sz="4" w:space="1" w:color="000000"/>
          <w:right w:val="single" w:sz="4" w:space="4" w:color="000000"/>
        </w:pBdr>
        <w:ind w:left="1134"/>
        <w:rPr>
          <w:rFonts w:ascii="Times New Roman" w:hAnsi="Times New Roman"/>
          <w:sz w:val="24"/>
          <w:szCs w:val="24"/>
        </w:rPr>
      </w:pPr>
      <w:r>
        <w:rPr>
          <w:rFonts w:cs="Courier New" w:ascii="Times New Roman" w:hAnsi="Times New Roman"/>
          <w:sz w:val="24"/>
          <w:szCs w:val="24"/>
          <w:lang w:val="pt-BR"/>
        </w:rPr>
        <w:t>...</w:t>
      </w:r>
    </w:p>
    <w:p>
      <w:pPr>
        <w:pStyle w:val="NoSpacing"/>
        <w:pBdr>
          <w:top w:val="single" w:sz="4" w:space="1" w:color="000000"/>
          <w:left w:val="single" w:sz="4" w:space="4" w:color="000000"/>
          <w:bottom w:val="single" w:sz="4" w:space="1" w:color="000000"/>
          <w:right w:val="single" w:sz="4" w:space="4" w:color="000000"/>
        </w:pBdr>
        <w:ind w:left="1134"/>
        <w:rPr>
          <w:rFonts w:ascii="Times New Roman" w:hAnsi="Times New Roman"/>
          <w:sz w:val="24"/>
          <w:szCs w:val="24"/>
        </w:rPr>
      </w:pPr>
      <w:r>
        <w:rPr>
          <w:rFonts w:cs="Courier New" w:ascii="Times New Roman" w:hAnsi="Times New Roman"/>
          <w:sz w:val="24"/>
          <w:szCs w:val="24"/>
          <w:shd w:fill="FFFFFF" w:val="clear"/>
          <w:lang w:val="pt-BR"/>
        </w:rPr>
        <w:t>Art. 24. Para fins do disposto no inciso II do art. 18, área servida de pastagem é aquela ocupada por pastos naturais, melhorados ou plantados e por forrageiras de corte que tenha, efetivamente, sido utilizada para alimentação de animais de grande e médio porte, observados os índices de lotação por zona de pecuária, estabelecidos em ato da Secretaria da Receita Federal, ouvido o Conselho Nacional de Política Agrícola.</w:t>
      </w:r>
    </w:p>
    <w:p>
      <w:pPr>
        <w:pStyle w:val="NormalWeb"/>
        <w:spacing w:before="280" w:after="280"/>
        <w:ind w:left="1560"/>
        <w:jc w:val="both"/>
        <w:rPr>
          <w:rFonts w:ascii="Times New Roman" w:hAnsi="Times New Roman" w:cs="Courier New"/>
          <w:color w:val="000000"/>
          <w:sz w:val="24"/>
          <w:szCs w:val="24"/>
          <w:shd w:fill="FFFFFF" w:val="clear"/>
        </w:rPr>
      </w:pPr>
      <w:r>
        <w:rPr>
          <w:rFonts w:cs="Courier New" w:ascii="Times New Roman" w:hAnsi="Times New Roman"/>
          <w:color w:val="000000"/>
          <w:sz w:val="24"/>
          <w:szCs w:val="24"/>
          <w:shd w:fill="FFFFFF" w:val="clear"/>
        </w:rPr>
      </w:r>
    </w:p>
    <w:p>
      <w:pPr>
        <w:pStyle w:val="Normal"/>
        <w:rPr>
          <w:rFonts w:ascii="Times New Roman" w:hAnsi="Times New Roman"/>
          <w:sz w:val="24"/>
          <w:szCs w:val="24"/>
        </w:rPr>
      </w:pPr>
      <w:r>
        <w:rPr>
          <w:rFonts w:ascii="Times New Roman" w:hAnsi="Times New Roman"/>
          <w:sz w:val="24"/>
          <w:szCs w:val="24"/>
        </w:rPr>
        <w:drawing>
          <wp:inline distT="0" distB="0" distL="0" distR="0">
            <wp:extent cx="5396230" cy="1839595"/>
            <wp:effectExtent l="0" t="0" r="0" b="0"/>
            <wp:docPr id="5"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descr=""/>
                    <pic:cNvPicPr>
                      <a:picLocks noChangeAspect="1" noChangeArrowheads="1"/>
                    </pic:cNvPicPr>
                  </pic:nvPicPr>
                  <pic:blipFill>
                    <a:blip r:embed="rId6"/>
                    <a:stretch>
                      <a:fillRect/>
                    </a:stretch>
                  </pic:blipFill>
                  <pic:spPr bwMode="auto">
                    <a:xfrm>
                      <a:off x="0" y="0"/>
                      <a:ext cx="5396230" cy="1839595"/>
                    </a:xfrm>
                    <a:prstGeom prst="rect">
                      <a:avLst/>
                    </a:prstGeom>
                  </pic:spPr>
                </pic:pic>
              </a:graphicData>
            </a:graphic>
          </wp:inline>
        </w:drawing>
      </w:r>
    </w:p>
    <w:p>
      <w:pPr>
        <w:pStyle w:val="Normal"/>
        <w:ind w:firstLine="1134"/>
        <w:jc w:val="both"/>
        <w:rPr>
          <w:rFonts w:ascii="Times New Roman" w:hAnsi="Times New Roman"/>
          <w:sz w:val="24"/>
          <w:szCs w:val="24"/>
        </w:rPr>
      </w:pPr>
      <w:r>
        <w:rPr>
          <w:rFonts w:cs="Times New Roman" w:ascii="Times New Roman" w:hAnsi="Times New Roman"/>
          <w:sz w:val="24"/>
          <w:szCs w:val="24"/>
          <w:lang w:val="pt-BR"/>
        </w:rPr>
        <w:t>Para fins de análise do exercício de 2020, deverá ser considerada a quantidade de rebanho existente no ano de 2019. Portanto, poderá ser considerada a quantia de 312,86ha como área de pastagem.</w:t>
      </w:r>
    </w:p>
    <w:p>
      <w:pPr>
        <w:pStyle w:val="ListParagraph"/>
        <w:ind w:firstLine="1134" w:left="0"/>
        <w:jc w:val="both"/>
        <w:rPr>
          <w:rFonts w:ascii="Times New Roman" w:hAnsi="Times New Roman"/>
          <w:sz w:val="24"/>
          <w:szCs w:val="24"/>
        </w:rPr>
      </w:pPr>
      <w:r>
        <w:rPr>
          <w:rFonts w:ascii="Times New Roman" w:hAnsi="Times New Roman"/>
          <w:sz w:val="24"/>
          <w:szCs w:val="24"/>
        </w:rPr>
        <w:t>O VTN não foi contestado.</w:t>
      </w:r>
    </w:p>
    <w:p>
      <w:pPr>
        <w:pStyle w:val="ListParagraph"/>
        <w:ind w:hanging="0" w:left="0" w:right="-143"/>
        <w:rPr>
          <w:rFonts w:ascii="Times New Roman" w:hAnsi="Times New Roman"/>
          <w:sz w:val="24"/>
          <w:szCs w:val="24"/>
        </w:rPr>
      </w:pPr>
      <w:r>
        <w:rPr>
          <w:rFonts w:cs="Times New Roman" w:ascii="Times New Roman" w:hAnsi="Times New Roman"/>
          <w:sz w:val="24"/>
          <w:szCs w:val="24"/>
        </w:rPr>
        <w:t xml:space="preserve">_______________________________________________________________________ </w:t>
      </w:r>
    </w:p>
    <w:p>
      <w:pPr>
        <w:pStyle w:val="ListParagraph"/>
        <w:pBdr>
          <w:bottom w:val="single" w:sz="6" w:space="1" w:color="000000"/>
        </w:pBdr>
        <w:ind w:hanging="0" w:left="0"/>
        <w:jc w:val="center"/>
        <w:rPr>
          <w:rFonts w:ascii="Times New Roman" w:hAnsi="Times New Roman"/>
          <w:sz w:val="24"/>
          <w:szCs w:val="24"/>
        </w:rPr>
      </w:pPr>
      <w:r>
        <w:rPr>
          <w:rFonts w:cs="Times New Roman" w:ascii="Times New Roman" w:hAnsi="Times New Roman"/>
          <w:sz w:val="24"/>
          <w:szCs w:val="24"/>
        </w:rPr>
        <w:t>CONCLUSÃO</w:t>
      </w:r>
    </w:p>
    <w:p>
      <w:pPr>
        <w:pStyle w:val="ListParagraph"/>
        <w:ind w:hanging="0" w:left="0"/>
        <w:rPr>
          <w:rFonts w:ascii="Times New Roman" w:hAnsi="Times New Roman" w:cs="Times New Roman"/>
          <w:sz w:val="24"/>
          <w:szCs w:val="24"/>
        </w:rPr>
      </w:pPr>
      <w:r>
        <w:rPr>
          <w:rFonts w:cs="Times New Roman" w:ascii="Times New Roman" w:hAnsi="Times New Roman"/>
          <w:sz w:val="24"/>
          <w:szCs w:val="24"/>
        </w:rPr>
      </w:r>
    </w:p>
    <w:p>
      <w:pPr>
        <w:pStyle w:val="ListParagraph"/>
        <w:ind w:hanging="0" w:left="0"/>
        <w:rPr>
          <w:rFonts w:ascii="Times New Roman" w:hAnsi="Times New Roman" w:cs="Times New Roman"/>
          <w:sz w:val="24"/>
          <w:szCs w:val="24"/>
        </w:rPr>
      </w:pPr>
      <w:r>
        <w:rPr>
          <w:rFonts w:cs="Times New Roman" w:ascii="Times New Roman" w:hAnsi="Times New Roman"/>
          <w:sz w:val="24"/>
          <w:szCs w:val="24"/>
        </w:rPr>
      </w:r>
    </w:p>
    <w:p>
      <w:pPr>
        <w:pStyle w:val="ListParagraph"/>
        <w:ind w:firstLine="1276" w:left="0"/>
        <w:jc w:val="both"/>
        <w:rPr>
          <w:rFonts w:ascii="Times New Roman" w:hAnsi="Times New Roman"/>
          <w:sz w:val="24"/>
          <w:szCs w:val="24"/>
        </w:rPr>
      </w:pPr>
      <w:r>
        <w:rPr>
          <w:rFonts w:cs="Times New Roman" w:ascii="Times New Roman" w:hAnsi="Times New Roman"/>
          <w:sz w:val="24"/>
          <w:szCs w:val="24"/>
        </w:rPr>
        <w:t xml:space="preserve">Considerando todo o exposto, com fulcro no que dispõe no inciso III, do art. 145 c/c inciso VIII. Do art. 149, ambos do Código Tributário Nacional (CTN), DECIDO REVER DE OFÍCIO O LANÇAMENTO Nº ....., relativo ao imóvel rural, identificado pelo CIB/NIRF Nº ...., lavrado em nome de ..... (CPF ....); para excluir da área tributada a quantia de 180,9 a título de APP e  443,87ha, a título de reserva legal; considerar 312,86ha como área de pastagem. Em decorrência, o ITR suplementar, referente ao exercício de 2020, passa de R$ 213.548,41 para R$ 159.822,23 (cento e cinquenta e nove mil, oitocentos e vinte e dois reais e vinte e três centavos) conforme demonstrativo em anexo. </w:t>
      </w:r>
    </w:p>
    <w:p>
      <w:pPr>
        <w:pStyle w:val="ListParagraph"/>
        <w:ind w:firstLine="1276" w:left="0"/>
        <w:jc w:val="both"/>
        <w:rPr>
          <w:rFonts w:ascii="Times New Roman" w:hAnsi="Times New Roman"/>
          <w:sz w:val="24"/>
          <w:szCs w:val="24"/>
        </w:rPr>
      </w:pPr>
      <w:r>
        <w:rPr>
          <w:rFonts w:ascii="Times New Roman" w:hAnsi="Times New Roman"/>
          <w:sz w:val="24"/>
          <w:szCs w:val="24"/>
        </w:rPr>
      </w:r>
    </w:p>
    <w:p>
      <w:pPr>
        <w:pStyle w:val="ListParagraph"/>
        <w:ind w:firstLine="1276" w:left="0"/>
        <w:jc w:val="both"/>
        <w:rPr>
          <w:rFonts w:ascii="Times New Roman" w:hAnsi="Times New Roman"/>
          <w:sz w:val="24"/>
          <w:szCs w:val="24"/>
        </w:rPr>
      </w:pPr>
      <w:r>
        <w:rPr>
          <w:rFonts w:cs="Times New Roman" w:ascii="Times New Roman" w:hAnsi="Times New Roman"/>
          <w:sz w:val="24"/>
          <w:szCs w:val="24"/>
        </w:rPr>
        <w:t>À RFB para adotar as providências necessárias, visando promover os ajustes no sistema que controla o crédito tributário.</w:t>
      </w:r>
    </w:p>
    <w:p>
      <w:pPr>
        <w:pStyle w:val="ListParagraph"/>
        <w:ind w:firstLine="1276" w:left="0"/>
        <w:jc w:val="both"/>
        <w:rPr>
          <w:rFonts w:ascii="Times New Roman" w:hAnsi="Times New Roman" w:cs="Times New Roman"/>
          <w:sz w:val="24"/>
          <w:szCs w:val="24"/>
        </w:rPr>
      </w:pPr>
      <w:r>
        <w:rPr>
          <w:rFonts w:cs="Times New Roman" w:ascii="Times New Roman" w:hAnsi="Times New Roman"/>
          <w:sz w:val="24"/>
          <w:szCs w:val="24"/>
        </w:rPr>
      </w:r>
    </w:p>
    <w:p>
      <w:pPr>
        <w:pStyle w:val="ListParagraph"/>
        <w:ind w:firstLine="1276" w:left="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ListParagraph"/>
        <w:ind w:firstLine="1276" w:left="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ListParagraph"/>
        <w:ind w:firstLine="1276" w:left="0"/>
        <w:jc w:val="both"/>
        <w:rPr>
          <w:rFonts w:ascii="Times New Roman" w:hAnsi="Times New Roman" w:cs="Times New Roman"/>
          <w:sz w:val="24"/>
          <w:szCs w:val="24"/>
        </w:rPr>
      </w:pPr>
      <w:r>
        <w:rPr>
          <w:rFonts w:cs="Times New Roman" w:ascii="Times New Roman" w:hAnsi="Times New Roman"/>
          <w:sz w:val="24"/>
          <w:szCs w:val="24"/>
        </w:rPr>
      </w:r>
    </w:p>
    <w:p>
      <w:pPr>
        <w:pStyle w:val="ListParagraph"/>
        <w:widowControl/>
        <w:bidi w:val="0"/>
        <w:spacing w:lineRule="auto" w:line="259" w:before="0" w:after="160"/>
        <w:ind w:hanging="0" w:left="0" w:right="0"/>
        <w:contextualSpacing/>
        <w:jc w:val="center"/>
        <w:rPr>
          <w:rFonts w:ascii="Times New Roman" w:hAnsi="Times New Roman"/>
          <w:sz w:val="24"/>
          <w:szCs w:val="24"/>
        </w:rPr>
      </w:pPr>
      <w:r>
        <w:rPr>
          <w:rFonts w:cs="Times New Roman" w:ascii="Times New Roman" w:hAnsi="Times New Roman"/>
          <w:i/>
          <w:iCs/>
          <w:color w:themeColor="background2" w:themeShade="bf" w:val="AEAAAA"/>
          <w:sz w:val="24"/>
          <w:szCs w:val="24"/>
        </w:rPr>
        <w:t>(assinado digitalmente)</w:t>
      </w:r>
    </w:p>
    <w:p>
      <w:pPr>
        <w:pStyle w:val="ListParagraph"/>
        <w:widowControl/>
        <w:bidi w:val="0"/>
        <w:spacing w:lineRule="auto" w:line="259" w:before="0" w:after="160"/>
        <w:ind w:hanging="0" w:left="0" w:right="0"/>
        <w:contextualSpacing/>
        <w:jc w:val="center"/>
        <w:rPr>
          <w:rFonts w:ascii="Times New Roman" w:hAnsi="Times New Roman"/>
          <w:sz w:val="24"/>
          <w:szCs w:val="24"/>
        </w:rPr>
      </w:pPr>
      <w:r>
        <w:rPr>
          <w:rFonts w:cs="Times New Roman" w:ascii="Times New Roman" w:hAnsi="Times New Roman"/>
          <w:i/>
          <w:iCs/>
          <w:color w:themeColor="text1" w:val="000000"/>
          <w:sz w:val="24"/>
          <w:szCs w:val="24"/>
        </w:rPr>
        <w:t>XXXXXXXX</w:t>
      </w:r>
    </w:p>
    <w:p>
      <w:pPr>
        <w:pStyle w:val="ListParagraph"/>
        <w:widowControl/>
        <w:bidi w:val="0"/>
        <w:spacing w:lineRule="auto" w:line="259" w:before="0" w:after="160"/>
        <w:ind w:hanging="0" w:left="0" w:right="0"/>
        <w:contextualSpacing/>
        <w:jc w:val="center"/>
        <w:rPr>
          <w:rFonts w:ascii="Times New Roman" w:hAnsi="Times New Roman"/>
          <w:sz w:val="24"/>
          <w:szCs w:val="24"/>
        </w:rPr>
      </w:pPr>
      <w:r>
        <w:rPr>
          <w:rFonts w:cs="Times New Roman" w:ascii="Times New Roman" w:hAnsi="Times New Roman"/>
          <w:i/>
          <w:iCs/>
          <w:color w:themeColor="text1" w:val="000000"/>
          <w:sz w:val="24"/>
          <w:szCs w:val="24"/>
        </w:rPr>
        <w:t xml:space="preserve">Auditor Fiscal do Município de </w:t>
      </w:r>
    </w:p>
    <w:p>
      <w:pPr>
        <w:pStyle w:val="ListParagraph"/>
        <w:spacing w:before="0" w:after="160"/>
        <w:ind w:hanging="0" w:left="0"/>
        <w:contextualSpacing/>
        <w:jc w:val="center"/>
        <w:rPr>
          <w:rFonts w:ascii="Times New Roman" w:hAnsi="Times New Roman"/>
          <w:sz w:val="24"/>
          <w:szCs w:val="24"/>
        </w:rPr>
      </w:pPr>
      <w:r>
        <w:rPr>
          <w:rFonts w:cs="Times New Roman" w:ascii="Times New Roman" w:hAnsi="Times New Roman"/>
          <w:i/>
          <w:iCs/>
          <w:color w:themeColor="text1" w:val="000000"/>
          <w:sz w:val="24"/>
          <w:szCs w:val="24"/>
        </w:rPr>
        <w:t>Matricula N° xxxxxx</w:t>
      </w:r>
    </w:p>
    <w:sectPr>
      <w:headerReference w:type="default" r:id="rId7"/>
      <w:footerReference w:type="default" r:id="rId8"/>
      <w:type w:val="nextPage"/>
      <w:pgSz w:w="11906" w:h="16838"/>
      <w:pgMar w:left="1701" w:right="1701" w:gutter="0" w:header="397" w:top="964" w:footer="227"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imesNewRomanPS-BoldItalicMT">
    <w:charset w:val="00"/>
    <w:family w:val="roman"/>
    <w:pitch w:val="variable"/>
  </w:font>
  <w:font w:name="Liberation Sans">
    <w:altName w:val="Arial"/>
    <w:charset w:val="00"/>
    <w:family w:val="roman"/>
    <w:pitch w:val="variable"/>
  </w:font>
  <w:font w:name="Arial Unicode MS">
    <w:charset w:val="00"/>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op w:val="single" w:sz="4" w:space="1" w:color="000000"/>
      </w:pBdr>
      <w:spacing w:lineRule="auto" w:line="240" w:before="0" w:after="0"/>
      <w:jc w:val="center"/>
      <w:rPr>
        <w:sz w:val="16"/>
        <w:szCs w:val="16"/>
      </w:rPr>
    </w:pPr>
    <w:r>
      <w:rPr>
        <w:sz w:val="16"/>
        <w:szCs w:val="16"/>
      </w:rPr>
    </w:r>
  </w:p>
  <w:p>
    <w:pPr>
      <w:pStyle w:val="Normal"/>
      <w:pBdr>
        <w:top w:val="single" w:sz="4" w:space="1" w:color="000000"/>
      </w:pBdr>
      <w:spacing w:lineRule="auto" w:line="240" w:before="0" w:after="0"/>
      <w:jc w:val="center"/>
      <w:rPr>
        <w:rFonts w:ascii="Times New Roman" w:hAnsi="Times New Roman"/>
      </w:rPr>
    </w:pPr>
    <w:r>
      <w:rPr>
        <w:rFonts w:ascii="Times New Roman" w:hAnsi="Times New Roman"/>
        <w:sz w:val="16"/>
        <w:szCs w:val="16"/>
      </w:rPr>
      <w:t xml:space="preserve">Prefeitura Municipal de </w:t>
    </w:r>
  </w:p>
  <w:p>
    <w:pPr>
      <w:pStyle w:val="Normal"/>
      <w:pBdr>
        <w:top w:val="single" w:sz="4" w:space="1" w:color="000000"/>
      </w:pBdr>
      <w:spacing w:lineRule="auto" w:line="240" w:before="0" w:after="0"/>
      <w:jc w:val="center"/>
      <w:rPr>
        <w:rFonts w:ascii="Times New Roman" w:hAnsi="Times New Roman"/>
      </w:rPr>
    </w:pPr>
    <w:r>
      <w:rPr>
        <w:rFonts w:ascii="Times New Roman" w:hAnsi="Times New Roman"/>
        <w:sz w:val="16"/>
        <w:szCs w:val="16"/>
      </w:rPr>
      <w:t>Av. ......…, nº</w:t>
    </w:r>
  </w:p>
  <w:p>
    <w:pPr>
      <w:pStyle w:val="Normal"/>
      <w:pBdr>
        <w:top w:val="single" w:sz="4" w:space="1" w:color="000000"/>
      </w:pBdr>
      <w:spacing w:lineRule="auto" w:line="240" w:before="0" w:after="0"/>
      <w:jc w:val="center"/>
      <w:rPr>
        <w:rFonts w:ascii="Times New Roman" w:hAnsi="Times New Roman"/>
      </w:rPr>
    </w:pPr>
    <w:r>
      <w:rPr>
        <w:rFonts w:ascii="Times New Roman" w:hAnsi="Times New Roman"/>
        <w:sz w:val="16"/>
        <w:szCs w:val="16"/>
      </w:rPr>
      <w:t xml:space="preserve">CEP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Times New Roman" w:hAnsi="Times New Roman"/>
      </w:rPr>
    </w:pPr>
    <w:r>
      <w:rPr>
        <w:rFonts w:ascii="Times New Roman" w:hAnsi="Times New Roman"/>
      </w:rPr>
      <w:t>Prefeitura Municipal de XXX</w:t>
    </w:r>
  </w:p>
  <w:p>
    <w:pPr>
      <w:pStyle w:val="Header"/>
      <w:rPr>
        <w:rFonts w:ascii="Times New Roman" w:hAnsi="Times New Roman"/>
      </w:rPr>
    </w:pPr>
    <w:r>
      <w:rPr>
        <w:rFonts w:ascii="Times New Roman" w:hAnsi="Times New Roman"/>
      </w:rPr>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e6503b"/>
    <w:rPr/>
  </w:style>
  <w:style w:type="character" w:styleId="RodapChar" w:customStyle="1">
    <w:name w:val="Rodapé Char"/>
    <w:basedOn w:val="DefaultParagraphFont"/>
    <w:uiPriority w:val="99"/>
    <w:qFormat/>
    <w:rsid w:val="00e6503b"/>
    <w:rPr/>
  </w:style>
  <w:style w:type="character" w:styleId="Hyperlink">
    <w:name w:val="Hyperlink"/>
    <w:basedOn w:val="DefaultParagraphFont"/>
    <w:uiPriority w:val="99"/>
    <w:semiHidden/>
    <w:unhideWhenUsed/>
    <w:rsid w:val="00c7355b"/>
    <w:rPr>
      <w:color w:val="0000FF"/>
      <w:u w:val="single"/>
    </w:rPr>
  </w:style>
  <w:style w:type="character" w:styleId="Fontstyle01" w:customStyle="1">
    <w:name w:val="fontstyle01"/>
    <w:basedOn w:val="DefaultParagraphFont"/>
    <w:qFormat/>
    <w:rsid w:val="00f91232"/>
    <w:rPr>
      <w:rFonts w:ascii="TimesNewRomanPS-BoldItalicMT" w:hAnsi="TimesNewRomanPS-BoldItalicMT"/>
      <w:b/>
      <w:bCs/>
      <w:i/>
      <w:iCs/>
      <w:color w:val="000000"/>
      <w:sz w:val="22"/>
      <w:szCs w:val="22"/>
    </w:rPr>
  </w:style>
  <w:style w:type="character" w:styleId="Strong">
    <w:name w:val="Strong"/>
    <w:basedOn w:val="DefaultParagraphFont"/>
    <w:uiPriority w:val="22"/>
    <w:qFormat/>
    <w:rsid w:val="00475964"/>
    <w:rPr>
      <w:b/>
      <w:bCs/>
    </w:rPr>
  </w:style>
  <w:style w:type="character" w:styleId="PlaceholderText">
    <w:name w:val="Placeholder Text"/>
    <w:basedOn w:val="DefaultParagraphFont"/>
    <w:uiPriority w:val="99"/>
    <w:semiHidden/>
    <w:qFormat/>
    <w:rsid w:val="0070322e"/>
    <w:rPr>
      <w:color w:val="808080"/>
    </w:rPr>
  </w:style>
  <w:style w:type="character" w:styleId="Fontstyle21" w:customStyle="1">
    <w:name w:val="fontstyle21"/>
    <w:basedOn w:val="DefaultParagraphFont"/>
    <w:qFormat/>
    <w:rsid w:val="00fd3a83"/>
    <w:rPr>
      <w:rFonts w:ascii="Times New Roman" w:hAnsi="Times New Roman" w:cs="Times New Roman"/>
      <w:b w:val="false"/>
      <w:bCs w:val="false"/>
      <w:i/>
      <w:iCs/>
      <w:color w:val="000000"/>
      <w:sz w:val="22"/>
      <w:szCs w:val="22"/>
    </w:rPr>
  </w:style>
  <w:style w:type="character" w:styleId="Smbolosdenumerao">
    <w:name w:val="Símbolos de numeração"/>
    <w:qFormat/>
    <w:rPr/>
  </w:style>
  <w:style w:type="character" w:styleId="FollowedHyperlink">
    <w:name w:val="FollowedHyperlink"/>
    <w:rPr>
      <w:color w:val="800000"/>
      <w:u w:val="singl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ListParagraph">
    <w:name w:val="List Paragraph"/>
    <w:basedOn w:val="Normal"/>
    <w:uiPriority w:val="34"/>
    <w:qFormat/>
    <w:rsid w:val="00693229"/>
    <w:pPr>
      <w:spacing w:before="0" w:after="160"/>
      <w:ind w:left="720"/>
      <w:contextualSpacing/>
    </w:pPr>
    <w:rPr/>
  </w:style>
  <w:style w:type="paragraph" w:styleId="NoSpacing">
    <w:name w:val="No Spacing"/>
    <w:uiPriority w:val="1"/>
    <w:qFormat/>
    <w:rsid w:val="00406725"/>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CabealhoeRodap">
    <w:name w:val="Cabeçalho e Rodapé"/>
    <w:basedOn w:val="Normal"/>
    <w:qFormat/>
    <w:pPr/>
    <w:rPr/>
  </w:style>
  <w:style w:type="paragraph" w:styleId="Header">
    <w:name w:val="Header"/>
    <w:basedOn w:val="Normal"/>
    <w:link w:val="CabealhoChar"/>
    <w:uiPriority w:val="99"/>
    <w:unhideWhenUsed/>
    <w:rsid w:val="00e6503b"/>
    <w:pPr>
      <w:tabs>
        <w:tab w:val="clear" w:pos="708"/>
        <w:tab w:val="center" w:pos="4252" w:leader="none"/>
        <w:tab w:val="right" w:pos="8504" w:leader="none"/>
      </w:tabs>
      <w:spacing w:lineRule="auto" w:line="240" w:before="0" w:after="0"/>
    </w:pPr>
    <w:rPr/>
  </w:style>
  <w:style w:type="paragraph" w:styleId="Footer">
    <w:name w:val="Footer"/>
    <w:basedOn w:val="Normal"/>
    <w:link w:val="RodapChar"/>
    <w:uiPriority w:val="99"/>
    <w:unhideWhenUsed/>
    <w:rsid w:val="00e6503b"/>
    <w:pPr>
      <w:tabs>
        <w:tab w:val="clear" w:pos="708"/>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c7355b"/>
    <w:pPr>
      <w:spacing w:lineRule="auto" w:line="240" w:beforeAutospacing="1" w:afterAutospacing="1"/>
    </w:pPr>
    <w:rPr>
      <w:rFonts w:ascii="Times New Roman" w:hAnsi="Times New Roman" w:eastAsia="Times New Roman" w:cs="Times New Roman"/>
      <w:sz w:val="24"/>
      <w:szCs w:val="24"/>
      <w:lang w:eastAsia="pt-BR"/>
    </w:rPr>
  </w:style>
  <w:style w:type="paragraph" w:styleId="Western" w:customStyle="1">
    <w:name w:val="western"/>
    <w:basedOn w:val="Normal"/>
    <w:qFormat/>
    <w:rsid w:val="00d66a54"/>
    <w:pPr>
      <w:suppressAutoHyphens w:val="true"/>
      <w:spacing w:lineRule="auto" w:line="240" w:before="280" w:after="119"/>
    </w:pPr>
    <w:rPr>
      <w:rFonts w:ascii="Arial Unicode MS" w:hAnsi="Arial Unicode MS" w:eastAsia="Arial Unicode MS" w:cs="Arial Unicode MS"/>
      <w:sz w:val="24"/>
      <w:szCs w:val="24"/>
      <w:lang w:val="en-US" w:eastAsia="zh-CN"/>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b94f9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3B974-1644-43EC-9632-5A23CAE2A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Application>LibreOffice/7.6.5.2$Windows_X86_64 LibreOffice_project/38d5f62f85355c192ef5f1dd47c5c0c0c6d6598b</Application>
  <AppVersion>15.0000</AppVersion>
  <Pages>7</Pages>
  <Words>1792</Words>
  <Characters>9387</Characters>
  <CharactersWithSpaces>11195</CharactersWithSpaces>
  <Paragraphs>77</Paragraphs>
  <Company>Secretaria de Receita Federal do Brasil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2024-02-13T13:27:00Z</dcterms:created>
  <dc:creator>Sizenando Ferreira de Oliveira</dc:creator>
  <dc:description/>
  <dc:language>pt-BR</dc:language>
  <cp:lastModifiedBy/>
  <cp:lastPrinted>2023-05-24T19:14:00Z</cp:lastPrinted>
  <dcterms:modified xsi:type="dcterms:W3CDTF">2024-10-20T21:41:28Z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